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Released</w:t>
      </w:r>
    </w:p>
    <w:p>
      <w:pPr>
        <w:pStyle w:val="Author"/>
      </w:pPr>
      <w:r>
        <w:t xml:space="preserve">Dan Knauss, General Editor</w:t>
      </w:r>
    </w:p>
    <w:bookmarkStart w:id="2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20"/>
    <w:bookmarkStart w:id="5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22" w:name="executive-summary"/>
    <w:p>
      <w:pPr>
        <w:pStyle w:val="Heading2"/>
      </w:pPr>
      <w:r>
        <w:t xml:space="preserve">Executive summary</w:t>
      </w:r>
    </w:p>
    <w:p>
      <w:pPr>
        <w:pStyle w:val="FirstParagraph"/>
      </w:pPr>
      <w:r>
        <w:t xml:space="preserve">WordPress transients are a temporary caching API. They are often described as</w:t>
      </w:r>
      <w:r>
        <w:t xml:space="preserve"> </w:t>
      </w:r>
      <w:r>
        <w:t xml:space="preserve">“cached data with an expiration time,”</w:t>
      </w:r>
      <w:r>
        <w:t xml:space="preserve"> </w:t>
      </w:r>
      <w:r>
        <w:t xml:space="preserve">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2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21"/>
    <w:bookmarkEnd w:id="22"/>
    <w:bookmarkStart w:id="2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23"/>
    <w:bookmarkStart w:id="26" w:name="where-transients-are-stored"/>
    <w:p>
      <w:pPr>
        <w:pStyle w:val="Heading2"/>
      </w:pPr>
      <w:r>
        <w:t xml:space="preserve">2. Where transients are stored</w:t>
      </w:r>
    </w:p>
    <w:bookmarkStart w:id="2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24"/>
    <w:bookmarkStart w:id="2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25"/>
    <w:bookmarkEnd w:id="26"/>
    <w:bookmarkStart w:id="2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27"/>
    <w:bookmarkStart w:id="2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28"/>
    <w:bookmarkStart w:id="2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29"/>
    <w:bookmarkStart w:id="3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30"/>
    <w:bookmarkStart w:id="3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w:t>
      </w:r>
      <w:r>
        <w:t xml:space="preserve"> </w:t>
      </w:r>
      <w:r>
        <w:t xml:space="preserve">“set and forget.”</w:t>
      </w:r>
      <w:r>
        <w:t xml:space="preserve"> </w:t>
      </w:r>
      <w:r>
        <w:t xml:space="preserve">It should be monitored.</w:t>
      </w:r>
    </w:p>
    <w:p>
      <w:r>
        <w:pict>
          <v:rect style="width:0;height:1.5pt" o:hralign="center" o:hrstd="t" o:hr="t"/>
        </w:pict>
      </w:r>
    </w:p>
    <w:bookmarkEnd w:id="31"/>
    <w:bookmarkStart w:id="3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32"/>
    <w:bookmarkStart w:id="3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33"/>
    <w:bookmarkStart w:id="3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34"/>
    <w:bookmarkStart w:id="3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35"/>
    <w:bookmarkStart w:id="3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Is there a persistent object cache drop-in active?</w:t>
      </w:r>
    </w:p>
    <w:p>
      <w:pPr>
        <w:pStyle w:val="Compact"/>
        <w:numPr>
          <w:ilvl w:val="0"/>
          <w:numId w:val="1020"/>
        </w:numPr>
      </w:pPr>
      <w:r>
        <w:t xml:space="preserve">If not, is database-backed transient storage acceptable?</w:t>
      </w:r>
    </w:p>
    <w:p>
      <w:pPr>
        <w:pStyle w:val="Compact"/>
        <w:numPr>
          <w:ilvl w:val="0"/>
          <w:numId w:val="1021"/>
        </w:numPr>
      </w:pPr>
      <w:r>
        <w:t xml:space="preserve">Is the cached value safe to regenerate?</w:t>
      </w:r>
    </w:p>
    <w:p>
      <w:pPr>
        <w:pStyle w:val="Compact"/>
        <w:numPr>
          <w:ilvl w:val="0"/>
          <w:numId w:val="1022"/>
        </w:numPr>
      </w:pPr>
      <w:r>
        <w:t xml:space="preserve">Is the expiration explicit?</w:t>
      </w:r>
    </w:p>
    <w:p>
      <w:pPr>
        <w:pStyle w:val="Compact"/>
        <w:numPr>
          <w:ilvl w:val="0"/>
          <w:numId w:val="1023"/>
        </w:numPr>
      </w:pPr>
      <w:r>
        <w:t xml:space="preserve">Is the key cardinality bounded?</w:t>
      </w:r>
    </w:p>
    <w:p>
      <w:pPr>
        <w:pStyle w:val="Compact"/>
        <w:numPr>
          <w:ilvl w:val="0"/>
          <w:numId w:val="1024"/>
        </w:numPr>
      </w:pPr>
      <w:r>
        <w:t xml:space="preserve">Could many users create unique transient keys?</w:t>
      </w:r>
    </w:p>
    <w:p>
      <w:pPr>
        <w:pStyle w:val="Compact"/>
        <w:numPr>
          <w:ilvl w:val="0"/>
          <w:numId w:val="1025"/>
        </w:numPr>
      </w:pPr>
      <w:r>
        <w:t xml:space="preserve">Is the value too large for</w:t>
      </w:r>
      <w:r>
        <w:t xml:space="preserve"> </w:t>
      </w:r>
      <w:r>
        <w:rPr>
          <w:rStyle w:val="VerbatimChar"/>
        </w:rPr>
        <w:t xml:space="preserve">wp_options</w:t>
      </w:r>
      <w:r>
        <w:t xml:space="preserve"> </w:t>
      </w:r>
      <w:r>
        <w:t xml:space="preserve">fallback?</w:t>
      </w:r>
    </w:p>
    <w:p>
      <w:pPr>
        <w:pStyle w:val="Compact"/>
        <w:numPr>
          <w:ilvl w:val="0"/>
          <w:numId w:val="1026"/>
        </w:numPr>
      </w:pPr>
      <w:r>
        <w:t xml:space="preserve">Is the data private or user-specific?</w:t>
      </w:r>
    </w:p>
    <w:p>
      <w:pPr>
        <w:pStyle w:val="Compact"/>
        <w:numPr>
          <w:ilvl w:val="0"/>
          <w:numId w:val="1027"/>
        </w:numPr>
      </w:pPr>
      <w:r>
        <w:t xml:space="preserve">Is there a cache stampede risk?</w:t>
      </w:r>
    </w:p>
    <w:p>
      <w:pPr>
        <w:pStyle w:val="Compact"/>
        <w:numPr>
          <w:ilvl w:val="0"/>
          <w:numId w:val="1028"/>
        </w:numPr>
      </w:pPr>
      <w:r>
        <w:t xml:space="preserve">Is there a fallback if the transient disappears early?</w:t>
      </w:r>
    </w:p>
    <w:p>
      <w:pPr>
        <w:pStyle w:val="Compact"/>
        <w:numPr>
          <w:ilvl w:val="0"/>
          <w:numId w:val="1029"/>
        </w:numPr>
      </w:pPr>
      <w:r>
        <w:t xml:space="preserve">Are expired transient rows accumulating?</w:t>
      </w:r>
    </w:p>
    <w:p>
      <w:pPr>
        <w:pStyle w:val="Compact"/>
        <w:numPr>
          <w:ilvl w:val="0"/>
          <w:numId w:val="1030"/>
        </w:numPr>
      </w:pPr>
      <w:r>
        <w:t xml:space="preserve">Is the object cache hit rate being monitored?</w:t>
      </w:r>
    </w:p>
    <w:p>
      <w:pPr>
        <w:pStyle w:val="FirstParagraph"/>
      </w:pPr>
      <w:r>
        <w:t xml:space="preserve">For enterprise/high-traffic sites:</w:t>
      </w:r>
    </w:p>
    <w:p>
      <w:pPr>
        <w:pStyle w:val="Compact"/>
        <w:numPr>
          <w:ilvl w:val="0"/>
          <w:numId w:val="1031"/>
        </w:numPr>
      </w:pPr>
      <w:r>
        <w:t xml:space="preserve">Use persistent object caching for transient-heavy workloads.</w:t>
      </w:r>
    </w:p>
    <w:p>
      <w:pPr>
        <w:pStyle w:val="Compact"/>
        <w:numPr>
          <w:ilvl w:val="0"/>
          <w:numId w:val="1032"/>
        </w:numPr>
      </w:pPr>
      <w:r>
        <w:t xml:space="preserve">Monitor Redis/Memcached memory and eviction behavior.</w:t>
      </w:r>
    </w:p>
    <w:p>
      <w:pPr>
        <w:pStyle w:val="Compact"/>
        <w:numPr>
          <w:ilvl w:val="0"/>
          <w:numId w:val="1033"/>
        </w:numPr>
      </w:pPr>
      <w:r>
        <w:t xml:space="preserve">Monitor object cache hit rate.</w:t>
      </w:r>
    </w:p>
    <w:p>
      <w:pPr>
        <w:pStyle w:val="Compact"/>
        <w:numPr>
          <w:ilvl w:val="0"/>
          <w:numId w:val="1034"/>
        </w:numPr>
      </w:pPr>
      <w:r>
        <w:t xml:space="preserve">Avoid unbounded transient creation.</w:t>
      </w:r>
    </w:p>
    <w:p>
      <w:pPr>
        <w:pStyle w:val="Compact"/>
        <w:numPr>
          <w:ilvl w:val="0"/>
          <w:numId w:val="1035"/>
        </w:numPr>
      </w:pPr>
      <w:r>
        <w:t xml:space="preserve">Pre-warm critical transient-backed data where appropriate.</w:t>
      </w:r>
    </w:p>
    <w:p>
      <w:pPr>
        <w:pStyle w:val="Compact"/>
        <w:numPr>
          <w:ilvl w:val="0"/>
          <w:numId w:val="1036"/>
        </w:numPr>
      </w:pPr>
      <w:r>
        <w:t xml:space="preserve">Use locks or stale-while-revalidate patterns for expensive regeneration.</w:t>
      </w:r>
    </w:p>
    <w:p>
      <w:r>
        <w:pict>
          <v:rect style="width:0;height:1.5pt" o:hralign="center" o:hrstd="t" o:hr="t"/>
        </w:pict>
      </w:r>
    </w:p>
    <w:bookmarkEnd w:id="36"/>
    <w:bookmarkStart w:id="41" w:name="X99885d770d6f46b66f1da0250fab692c4943198"/>
    <w:p>
      <w:pPr>
        <w:pStyle w:val="Heading2"/>
      </w:pPr>
      <w:r>
        <w:t xml:space="preserve">13. Source notes: Remkus, WP VIP, WordPress.org, and the handbook PR</w:t>
      </w:r>
    </w:p>
    <w:bookmarkStart w:id="3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37"/>
    <w:bookmarkStart w:id="3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38"/>
    <w:bookmarkStart w:id="3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39"/>
    <w:bookmarkStart w:id="4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40"/>
    <w:bookmarkEnd w:id="41"/>
    <w:bookmarkStart w:id="49" w:name="common-misconceptions"/>
    <w:p>
      <w:pPr>
        <w:pStyle w:val="Heading2"/>
      </w:pPr>
      <w:r>
        <w:t xml:space="preserve">14. Common misconceptions</w:t>
      </w:r>
    </w:p>
    <w:bookmarkStart w:id="4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42"/>
    <w:bookmarkStart w:id="4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43"/>
    <w:bookmarkStart w:id="4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44"/>
    <w:bookmarkStart w:id="4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45"/>
    <w:bookmarkStart w:id="4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46"/>
    <w:bookmarkStart w:id="4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47"/>
    <w:bookmarkStart w:id="4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w:t>
      </w:r>
      <w:r>
        <w:t xml:space="preserve"> </w:t>
      </w:r>
      <w:r>
        <w:t xml:space="preserve">“always set an expiration”</w:t>
      </w:r>
      <w:r>
        <w:t xml:space="preserve"> </w:t>
      </w:r>
      <w:r>
        <w:t xml:space="preserve">guidance matters: it keeps transient data out of the per-request autoload footprint.</w:t>
      </w:r>
    </w:p>
    <w:p>
      <w:r>
        <w:pict>
          <v:rect style="width:0;height:1.5pt" o:hralign="center" o:hrstd="t" o:hr="t"/>
        </w:pict>
      </w:r>
    </w:p>
    <w:bookmarkEnd w:id="48"/>
    <w:bookmarkEnd w:id="49"/>
    <w:bookmarkStart w:id="57" w:name="references"/>
    <w:p>
      <w:pPr>
        <w:pStyle w:val="Heading2"/>
      </w:pPr>
      <w:r>
        <w:t xml:space="preserve">References</w:t>
      </w:r>
    </w:p>
    <w:p>
      <w:pPr>
        <w:pStyle w:val="Compact"/>
        <w:numPr>
          <w:ilvl w:val="0"/>
          <w:numId w:val="1037"/>
        </w:numPr>
      </w:pPr>
      <w:hyperlink r:id="rId50">
        <w:r>
          <w:rPr>
            <w:rStyle w:val="Hyperlink"/>
          </w:rPr>
          <w:t xml:space="preserve">WordPress.org Developer Docs: Transients API</w:t>
        </w:r>
      </w:hyperlink>
    </w:p>
    <w:p>
      <w:pPr>
        <w:pStyle w:val="Compact"/>
        <w:numPr>
          <w:ilvl w:val="0"/>
          <w:numId w:val="1037"/>
        </w:numPr>
      </w:pPr>
      <w:hyperlink r:id="rId51">
        <w:r>
          <w:rPr>
            <w:rStyle w:val="Hyperlink"/>
          </w:rPr>
          <w:t xml:space="preserve">WordPress Developer Blog: An introduction to the Transients API</w:t>
        </w:r>
      </w:hyperlink>
    </w:p>
    <w:p>
      <w:pPr>
        <w:pStyle w:val="Compact"/>
        <w:numPr>
          <w:ilvl w:val="0"/>
          <w:numId w:val="1037"/>
        </w:numPr>
      </w:pPr>
      <w:hyperlink r:id="rId5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37"/>
        </w:numPr>
      </w:pPr>
      <w:hyperlink r:id="rId5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37"/>
        </w:numPr>
      </w:pPr>
      <w:hyperlink r:id="rId5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37"/>
        </w:numPr>
      </w:pPr>
      <w:hyperlink r:id="rId5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37"/>
        </w:numPr>
      </w:pPr>
      <w:hyperlink r:id="rId56">
        <w:r>
          <w:rPr>
            <w:rStyle w:val="Hyperlink"/>
          </w:rPr>
          <w:t xml:space="preserve">WordPress/Advanced-administration-handbook PR #485</w:t>
        </w:r>
      </w:hyperlink>
    </w:p>
    <w:p>
      <w:pPr>
        <w:pStyle w:val="Compact"/>
        <w:numPr>
          <w:ilvl w:val="0"/>
          <w:numId w:val="1037"/>
        </w:numPr>
      </w:pPr>
      <w:r>
        <w:t xml:space="preserve">Source-correction audit trail:</w:t>
      </w:r>
      <w:r>
        <w:t xml:space="preserve"> </w:t>
      </w:r>
      <w:r>
        <w:rPr>
          <w:rStyle w:val="VerbatimChar"/>
        </w:rPr>
        <w:t xml:space="preserve">docs/source-corrections.md</w:t>
      </w:r>
    </w:p>
    <w:p>
      <w:pPr>
        <w:pStyle w:val="Compact"/>
        <w:numPr>
          <w:ilvl w:val="0"/>
          <w:numId w:val="1037"/>
        </w:numPr>
      </w:pPr>
      <w:r>
        <w:t xml:space="preserve">Editorial review round:</w:t>
      </w:r>
      <w:r>
        <w:t xml:space="preserve"> </w:t>
      </w:r>
      <w:r>
        <w:rPr>
          <w:rStyle w:val="VerbatimChar"/>
        </w:rPr>
        <w:t xml:space="preserve">reviews/rounds/2026-05-18/</w:t>
      </w:r>
    </w:p>
    <w:bookmarkEnd w:id="57"/>
    <w:bookmarkEnd w:id="5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2026-06-14T21:44:59Z</dcterms:created>
  <dcterms:modified xsi:type="dcterms:W3CDTF">2026-06-14T21:44:59Z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