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29"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4"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p>
      <w:pPr>
        <w:pStyle w:val="BodyText"/>
      </w:pPr>
      <w:r>
        <w:rPr>
          <w:b/>
          <w:bCs/>
        </w:rPr>
        <w:t xml:space="preserve">References:</w:t>
      </w:r>
      <w:r>
        <w:t xml:space="preserve"> </w:t>
      </w:r>
      <w:r>
        <w:t xml:space="preserve">https://ssl-config.mozilla.org/</w:t>
      </w:r>
    </w:p>
    <w:p>
      <w:r>
        <w:pict>
          <v:rect style="width:0;height:1.5pt" o:hralign="center" o:hrstd="t" o:hr="t"/>
        </w:pict>
      </w:r>
    </w:p>
    <w:bookmarkEnd w:id="24"/>
    <w:bookmarkStart w:id="25"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5"/>
    <w:bookmarkStart w:id="26"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6"/>
    <w:bookmarkStart w:id="27"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7"/>
    <w:bookmarkStart w:id="2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28"/>
    <w:bookmarkEnd w:id="29"/>
    <w:bookmarkStart w:id="35" w:name="php-configuration"/>
    <w:p>
      <w:pPr>
        <w:pStyle w:val="Heading2"/>
      </w:pPr>
      <w:r>
        <w:t xml:space="preserve">2 PHP Configuration</w:t>
      </w:r>
    </w:p>
    <w:p>
      <w:pPr>
        <w:pStyle w:val="FirstParagraph"/>
      </w:pPr>
      <w:r>
        <w:t xml:space="preserve">This section provides recommendations for securing the PHP runtime environment.</w:t>
      </w:r>
    </w:p>
    <w:bookmarkStart w:id="30"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0"/>
    <w:bookmarkStart w:id="31"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1"/>
    <w:bookmarkStart w:id="32"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2"/>
    <w:bookmarkStart w:id="33"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3"/>
    <w:bookmarkStart w:id="3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4"/>
    <w:bookmarkEnd w:id="35"/>
    <w:bookmarkStart w:id="40"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6"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6"/>
    <w:bookmarkStart w:id="37"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7"/>
    <w:bookmarkStart w:id="38"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38"/>
    <w:bookmarkStart w:id="39"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39"/>
    <w:bookmarkEnd w:id="40"/>
    <w:bookmarkStart w:id="48"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1"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1"/>
    <w:bookmarkStart w:id="4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2"/>
    <w:bookmarkStart w:id="43"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3"/>
    <w:bookmarkStart w:id="44"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4"/>
    <w:bookmarkStart w:id="4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5"/>
    <w:bookmarkStart w:id="4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6"/>
    <w:bookmarkStart w:id="47"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7"/>
    <w:bookmarkEnd w:id="48"/>
    <w:bookmarkStart w:id="57"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49"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49"/>
    <w:bookmarkStart w:id="50"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0"/>
    <w:bookmarkStart w:id="51"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1"/>
    <w:bookmarkStart w:id="52"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2"/>
    <w:bookmarkStart w:id="53"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3"/>
    <w:bookmarkStart w:id="54"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4"/>
    <w:bookmarkStart w:id="55"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5"/>
    <w:bookmarkStart w:id="56"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6"/>
    <w:bookmarkEnd w:id="57"/>
    <w:bookmarkStart w:id="61"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58"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58"/>
    <w:bookmarkStart w:id="59"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0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0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0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59"/>
    <w:bookmarkStart w:id="60"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0"/>
    <w:bookmarkEnd w:id="61"/>
    <w:bookmarkStart w:id="65"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2"/>
    <w:bookmarkStart w:id="63"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3"/>
    <w:bookmarkStart w:id="64"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5"/>
        </w:numPr>
      </w:pPr>
      <w:r>
        <w:t xml:space="preserve">Install a server-level malware detection tool appropriate to the environment:</w:t>
      </w:r>
    </w:p>
    <w:p>
      <w:pPr>
        <w:pStyle w:val="Compact"/>
        <w:numPr>
          <w:ilvl w:val="1"/>
          <w:numId w:val="1006"/>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6"/>
        </w:numPr>
      </w:pPr>
      <w:r>
        <w:rPr>
          <w:b/>
          <w:bCs/>
        </w:rPr>
        <w:t xml:space="preserve">Self-managed:</w:t>
      </w:r>
      <w:r>
        <w:t xml:space="preserve"> </w:t>
      </w:r>
      <w:r>
        <w:t xml:space="preserve">Install Linux Malware Detect (LMD) with ClamAV as a scanning engine.</w:t>
      </w:r>
    </w:p>
    <w:p>
      <w:pPr>
        <w:pStyle w:val="Compact"/>
        <w:numPr>
          <w:ilvl w:val="0"/>
          <w:numId w:val="1005"/>
        </w:numPr>
      </w:pPr>
      <w:r>
        <w:t xml:space="preserve">Configure daily scheduled scans of the WordPress installation directory.</w:t>
      </w:r>
    </w:p>
    <w:p>
      <w:pPr>
        <w:pStyle w:val="Compact"/>
        <w:numPr>
          <w:ilvl w:val="0"/>
          <w:numId w:val="1005"/>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5"/>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4"/>
    <w:bookmarkEnd w:id="65"/>
    <w:bookmarkStart w:id="70"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6"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6"/>
    <w:bookmarkStart w:id="67"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7"/>
    <w:bookmarkStart w:id="6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68"/>
    <w:bookmarkStart w:id="69"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7"/>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8"/>
        </w:numPr>
      </w:pPr>
      <w:r>
        <w:t xml:space="preserve">Integrate SBOM generation into deployment pipelines.</w:t>
      </w:r>
    </w:p>
    <w:p>
      <w:pPr>
        <w:pStyle w:val="Compact"/>
        <w:numPr>
          <w:ilvl w:val="0"/>
          <w:numId w:val="1008"/>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69"/>
    <w:bookmarkEnd w:id="70"/>
    <w:bookmarkStart w:id="74"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1">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2">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3"/>
    <w:bookmarkEnd w:id="74"/>
    <w:bookmarkStart w:id="76"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5"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9"/>
        </w:numPr>
      </w:pPr>
      <w:r>
        <w:t xml:space="preserve">Configure server-level backups (not relying solely on WordPress plugins) with daily frequency at minimum.</w:t>
      </w:r>
    </w:p>
    <w:p>
      <w:pPr>
        <w:pStyle w:val="Compact"/>
        <w:numPr>
          <w:ilvl w:val="0"/>
          <w:numId w:val="1009"/>
        </w:numPr>
      </w:pPr>
      <w:r>
        <w:t xml:space="preserve">Store backups in an offsite location (e.g., a separate cloud storage account, S3 bucket, or remote server) that is not accessible from the production web server.</w:t>
      </w:r>
    </w:p>
    <w:p>
      <w:pPr>
        <w:pStyle w:val="Compact"/>
        <w:numPr>
          <w:ilvl w:val="0"/>
          <w:numId w:val="1009"/>
        </w:numPr>
      </w:pPr>
      <w:r>
        <w:t xml:space="preserve">Encrypt backup archives using AES-256 or equivalent.</w:t>
      </w:r>
    </w:p>
    <w:p>
      <w:pPr>
        <w:pStyle w:val="Compact"/>
        <w:numPr>
          <w:ilvl w:val="0"/>
          <w:numId w:val="1009"/>
        </w:numPr>
      </w:pPr>
      <w:r>
        <w:t xml:space="preserve">Test backup restoration quarterly by performing a full recovery to a staging environment.</w:t>
      </w:r>
    </w:p>
    <w:p>
      <w:pPr>
        <w:pStyle w:val="Compact"/>
        <w:numPr>
          <w:ilvl w:val="0"/>
          <w:numId w:val="1009"/>
        </w:numPr>
      </w:pPr>
      <w:r>
        <w:t xml:space="preserve">Retain at least 30 days of daily backups and 90 days of weekly backups, allowing recovery from compromises that may not be detected immediately.</w:t>
      </w:r>
    </w:p>
    <w:p>
      <w:pPr>
        <w:pStyle w:val="Compact"/>
        <w:numPr>
          <w:ilvl w:val="0"/>
          <w:numId w:val="100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5"/>
    <w:bookmarkEnd w:id="76"/>
    <w:bookmarkStart w:id="80"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10"/>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1"/>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1"/>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2"/>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2"/>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2"/>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7"/>
    <w:bookmarkStart w:id="78"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3"/>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3"/>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3"/>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r>
        <w:pict>
          <v:rect style="width:0;height:1.5pt" o:hralign="center" o:hrstd="t" o:hr="t"/>
        </w:pict>
      </w:r>
    </w:p>
    <w:bookmarkEnd w:id="78"/>
    <w:bookmarkStart w:id="79"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4"/>
        </w:numPr>
      </w:pPr>
      <w:r>
        <w:t xml:space="preserve">Verify that a written AI acceptable use policy exists and has been communicated to all WordPress team members.</w:t>
      </w:r>
    </w:p>
    <w:p>
      <w:pPr>
        <w:pStyle w:val="Compact"/>
        <w:numPr>
          <w:ilvl w:val="0"/>
          <w:numId w:val="1014"/>
        </w:numPr>
      </w:pPr>
      <w:r>
        <w:t xml:space="preserve">Confirm that only approved AI plugins are installed on production sites.</w:t>
      </w:r>
    </w:p>
    <w:p>
      <w:pPr>
        <w:pStyle w:val="Compact"/>
        <w:numPr>
          <w:ilvl w:val="0"/>
          <w:numId w:val="1014"/>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5"/>
        </w:numPr>
      </w:pPr>
      <w:r>
        <w:t xml:space="preserve">Develop an AI acceptable use policy covering approved tools, prohibited data inputs (credentials, PII, proprietary content), and disclosure requirements.</w:t>
      </w:r>
    </w:p>
    <w:p>
      <w:pPr>
        <w:pStyle w:val="Compact"/>
        <w:numPr>
          <w:ilvl w:val="0"/>
          <w:numId w:val="1015"/>
        </w:numPr>
      </w:pPr>
      <w:r>
        <w:t xml:space="preserve">Maintain an inventory of approved AI plugins and services.</w:t>
      </w:r>
    </w:p>
    <w:p>
      <w:pPr>
        <w:pStyle w:val="Compact"/>
        <w:numPr>
          <w:ilvl w:val="0"/>
          <w:numId w:val="1015"/>
        </w:numPr>
      </w:pPr>
      <w:r>
        <w:t xml:space="preserve">Configure AI services with corporate authentication and audit logging where available.</w:t>
      </w:r>
    </w:p>
    <w:p>
      <w:pPr>
        <w:pStyle w:val="Compact"/>
        <w:numPr>
          <w:ilvl w:val="0"/>
          <w:numId w:val="1015"/>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79"/>
    <w:bookmarkEnd w:id="80"/>
    <w:bookmarkStart w:id="85"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1"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1"/>
    <w:bookmarkStart w:id="82"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6"/>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7"/>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8"/>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2"/>
    <w:bookmarkStart w:id="83"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3"/>
    <w:bookmarkStart w:id="84"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2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4"/>
    <w:bookmarkEnd w:id="85"/>
    <w:bookmarkStart w:id="88"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2"/>
        </w:numPr>
      </w:pPr>
      <w:r>
        <w:t xml:space="preserve">Audit existing Super Admin accounts.</w:t>
      </w:r>
    </w:p>
    <w:p>
      <w:pPr>
        <w:pStyle w:val="Compact"/>
        <w:numPr>
          <w:ilvl w:val="0"/>
          <w:numId w:val="1022"/>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3"/>
        </w:numPr>
      </w:pPr>
      <w:r>
        <w:t xml:space="preserve">Assign per-site Administrator roles for day-to-day operations.</w:t>
      </w:r>
    </w:p>
    <w:p>
      <w:pPr>
        <w:pStyle w:val="Compact"/>
        <w:numPr>
          <w:ilvl w:val="0"/>
          <w:numId w:val="1023"/>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6"/>
    <w:bookmarkStart w:id="8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4"/>
        </w:numPr>
      </w:pPr>
      <w:r>
        <w:t xml:space="preserve">Review all network-activated plugins.</w:t>
      </w:r>
    </w:p>
    <w:p>
      <w:pPr>
        <w:pStyle w:val="Compact"/>
        <w:numPr>
          <w:ilvl w:val="0"/>
          <w:numId w:val="1024"/>
        </w:numPr>
      </w:pPr>
      <w:r>
        <w:t xml:space="preserve">Deactivate plugins at the network level that don’t require network-wide operation.</w:t>
      </w:r>
    </w:p>
    <w:p>
      <w:pPr>
        <w:pStyle w:val="Compact"/>
        <w:numPr>
          <w:ilvl w:val="0"/>
          <w:numId w:val="1024"/>
        </w:numPr>
      </w:pPr>
      <w:r>
        <w:t xml:space="preserve">Activate them per-site only where needed.</w:t>
      </w:r>
    </w:p>
    <w:p>
      <w:pPr>
        <w:pStyle w:val="Compact"/>
        <w:numPr>
          <w:ilvl w:val="0"/>
          <w:numId w:val="1024"/>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7"/>
    <w:bookmarkEnd w:id="88"/>
    <w:bookmarkStart w:id="8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extensions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Multisite Super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network-activated plugins are reviewed</w:t>
            </w:r>
          </w:p>
        </w:tc>
        <w:tc>
          <w:tcPr/>
          <w:p>
            <w:pPr>
              <w:pStyle w:val="Compact"/>
              <w:jc w:val="left"/>
            </w:pPr>
            <w:r>
              <w:t xml:space="preserve">L2</w:t>
            </w:r>
          </w:p>
        </w:tc>
        <w:tc>
          <w:tcPr/>
          <w:p>
            <w:pPr>
              <w:pStyle w:val="Compact"/>
              <w:jc w:val="left"/>
            </w:pPr>
            <w:r>
              <w:t xml:space="preserve">Manual</w:t>
            </w:r>
          </w:p>
        </w:tc>
      </w:tr>
    </w:tbl>
    <w:bookmarkEnd w:id="89"/>
    <w:bookmarkStart w:id="93" w:name="related-documents"/>
    <w:p>
      <w:pPr>
        <w:pStyle w:val="Heading2"/>
      </w:pPr>
      <w:r>
        <w:t xml:space="preserve">Related Documents</w:t>
      </w:r>
    </w:p>
    <w:p>
      <w:pPr>
        <w:pStyle w:val="Compact"/>
        <w:numPr>
          <w:ilvl w:val="0"/>
          <w:numId w:val="1025"/>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5"/>
        </w:numPr>
      </w:pPr>
      <w:hyperlink r:id="rId90">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5"/>
        </w:numPr>
      </w:pPr>
      <w:hyperlink r:id="rId91">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25"/>
        </w:numPr>
      </w:pPr>
      <w:hyperlink r:id="rId92">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93"/>
    <w:bookmarkStart w:id="95" w:name="license-and-attribution"/>
    <w:p>
      <w:pPr>
        <w:pStyle w:val="Heading2"/>
      </w:pPr>
      <w:r>
        <w:t xml:space="preserve">License and Attribution</w:t>
      </w:r>
    </w:p>
    <w:p>
      <w:pPr>
        <w:pStyle w:val="FirstParagraph"/>
      </w:pPr>
      <w:r>
        <w:t xml:space="preserve">This document is licensed under the</w:t>
      </w:r>
      <w:r>
        <w:t xml:space="preserve"> </w:t>
      </w:r>
      <w:hyperlink r:id="rId94">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4" Target="https://creativecommons.org/licenses/by-sa/4.0/" TargetMode="External" /><Relationship Type="http://schemas.openxmlformats.org/officeDocument/2006/relationships/hyperlink" Id="rId91" Target="https://developer.wordpress.org/advanced-administration/security/" TargetMode="External" /><Relationship Type="http://schemas.openxmlformats.org/officeDocument/2006/relationships/hyperlink" Id="rId71" Target="https://github.com/coreruleset/wordpress-rule-exclusions-plugin" TargetMode="External" /><Relationship Type="http://schemas.openxmlformats.org/officeDocument/2006/relationships/hyperlink" Id="rId72" Target="https://github.com/dknauss/wp-security-hardening-guide" TargetMode="External" /><Relationship Type="http://schemas.openxmlformats.org/officeDocument/2006/relationships/hyperlink" Id="rId90" Target="https://github.com/dknauss/wp-security-style-guide" TargetMode="External" /><Relationship Type="http://schemas.openxmlformats.org/officeDocument/2006/relationships/hyperlink" Id="rId92" Target="https://wordpress.org/about/security/" TargetMode="External" /></Relationships>
</file>

<file path=word/_rels/footnotes.xml.rels><?xml version="1.0" encoding="UTF-8"?><Relationships xmlns="http://schemas.openxmlformats.org/package/2006/relationships"><Relationship Type="http://schemas.openxmlformats.org/officeDocument/2006/relationships/hyperlink" Id="rId94" Target="https://creativecommons.org/licenses/by-sa/4.0/" TargetMode="External" /><Relationship Type="http://schemas.openxmlformats.org/officeDocument/2006/relationships/hyperlink" Id="rId91" Target="https://developer.wordpress.org/advanced-administration/security/" TargetMode="External" /><Relationship Type="http://schemas.openxmlformats.org/officeDocument/2006/relationships/hyperlink" Id="rId71" Target="https://github.com/coreruleset/wordpress-rule-exclusions-plugin" TargetMode="External" /><Relationship Type="http://schemas.openxmlformats.org/officeDocument/2006/relationships/hyperlink" Id="rId72" Target="https://github.com/dknauss/wp-security-hardening-guide" TargetMode="External" /><Relationship Type="http://schemas.openxmlformats.org/officeDocument/2006/relationships/hyperlink" Id="rId90" Target="https://github.com/dknauss/wp-security-style-guide" TargetMode="External" /><Relationship Type="http://schemas.openxmlformats.org/officeDocument/2006/relationships/hyperlink" Id="rId92" Target="https://wordpress.org/about/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2026-03-02T22:30:05Z</dcterms:created>
  <dcterms:modified xsi:type="dcterms:W3CDTF">2026-03-02T22:30:05Z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