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through WordPress 7.0, released on May 20, 2026.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(for example, WordPress 7.0, released on May 20, 2026) ship new features on a roughly four-month cycle through a structured process of scoping, development, beta testing, and release candidates. Minor releases (for example, 6.9.x or 7.0.x) contain maintenance and security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On supported WordPress 7.0 environments (PHP 7.4+), sites with Argon2 support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9"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p>
      <w:pPr>
        <w:pStyle w:val="BodyText"/>
      </w:pPr>
      <w:r>
        <w:t xml:space="preserve">WordPress 7.0 makes this discussion more concrete by shipping first-party AI integration infrastructure, including the</w:t>
      </w:r>
      <w:r>
        <w:t xml:space="preserve"> </w:t>
      </w:r>
      <w:r>
        <w:rPr>
          <w:rStyle w:val="VerbatimChar"/>
        </w:rPr>
        <w:t xml:space="preserve">WP AI Client</w:t>
      </w:r>
      <w:r>
        <w:t xml:space="preserve">, the client-side</w:t>
      </w:r>
      <w:r>
        <w:t xml:space="preserve"> </w:t>
      </w:r>
      <w:r>
        <w:rPr>
          <w:rStyle w:val="VerbatimChar"/>
        </w:rPr>
        <w:t xml:space="preserve">Abilities API</w:t>
      </w:r>
      <w:r>
        <w:t xml:space="preserve">, the</w:t>
      </w:r>
      <w:r>
        <w:t xml:space="preserve"> </w:t>
      </w:r>
      <w:r>
        <w:rPr>
          <w:rStyle w:val="VerbatimChar"/>
        </w:rPr>
        <w:t xml:space="preserve">AI Connectors</w:t>
      </w:r>
      <w:r>
        <w:t xml:space="preserve"> </w:t>
      </w:r>
      <w:r>
        <w:t xml:space="preserve">screen, and the</w:t>
      </w:r>
      <w:r>
        <w:t xml:space="preserve"> </w:t>
      </w:r>
      <w:r>
        <w:rPr>
          <w:rStyle w:val="VerbatimChar"/>
        </w:rPr>
        <w:t xml:space="preserve">Connectors API</w:t>
      </w:r>
      <w:r>
        <w:t xml:space="preserve">. See the</w:t>
      </w:r>
      <w:r>
        <w:t xml:space="preserve"> </w:t>
      </w:r>
      <w:hyperlink r:id="rId82">
        <w:r>
          <w:rPr>
            <w:rStyle w:val="Hyperlink"/>
          </w:rPr>
          <w:t xml:space="preserve">WordPress 7.0 Field Guide</w:t>
        </w:r>
      </w:hyperlink>
      <w:r>
        <w:t xml:space="preserve"> </w:t>
      </w:r>
      <w:r>
        <w:t xml:space="preserve">and the developer notes for the</w:t>
      </w:r>
      <w:r>
        <w:t xml:space="preserve"> </w:t>
      </w:r>
      <w:hyperlink r:id="rId83">
        <w:r>
          <w:rPr>
            <w:rStyle w:val="Hyperlink"/>
          </w:rPr>
          <w:t xml:space="preserve">AI Client</w:t>
        </w:r>
      </w:hyperlink>
      <w:r>
        <w:t xml:space="preserve">, the</w:t>
      </w:r>
      <w:r>
        <w:t xml:space="preserve"> </w:t>
      </w:r>
      <w:hyperlink r:id="rId84">
        <w:r>
          <w:rPr>
            <w:rStyle w:val="Hyperlink"/>
          </w:rPr>
          <w:t xml:space="preserve">Client-Side Abilities API</w:t>
        </w:r>
      </w:hyperlink>
      <w:r>
        <w:t xml:space="preserve">, and the</w:t>
      </w:r>
      <w:r>
        <w:t xml:space="preserve"> </w:t>
      </w:r>
      <w:hyperlink r:id="rId85">
        <w:r>
          <w:rPr>
            <w:rStyle w:val="Hyperlink"/>
          </w:rPr>
          <w:t xml:space="preserve">Connectors API</w:t>
        </w:r>
      </w:hyperlink>
      <w:r>
        <w:t xml:space="preserve">. For enterprise teams, these are not merely convenience features; they create new secret-management, authorization-boundary, and provider-governance decisions that should be handled as part of the platform security model.</w:t>
      </w:r>
    </w:p>
    <w:bookmarkStart w:id="8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6"/>
    <w:bookmarkStart w:id="8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7"/>
    <w:bookmarkStart w:id="88" w:name="securing-ai-integrations-in-wordpress"/>
    <w:p>
      <w:pPr>
        <w:pStyle w:val="Heading3"/>
      </w:pPr>
      <w:r>
        <w:t xml:space="preserve">14.3 Securing AI Integrations in WordPress</w:t>
      </w:r>
    </w:p>
    <w:p>
      <w:pPr>
        <w:pStyle w:val="FirstParagraph"/>
      </w:pPr>
      <w:r>
        <w:t xml:space="preserve">When WordPress 7.0 AI infrastructure is in scope, treat connectors, prompt execution paths, and abilities registration as security-relevant application surfaces, not just developer ergonomics.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Client-Side Prompt Execution:</w:t>
      </w:r>
      <w:r>
        <w:t xml:space="preserve"> </w:t>
      </w:r>
      <w:r>
        <w:t xml:space="preserve">Treat arbitrary browser-side prompt execution as a high-privilege pattern. The</w:t>
      </w:r>
      <w:r>
        <w:t xml:space="preserve"> </w:t>
      </w:r>
      <w:hyperlink r:id="rId83">
        <w:r>
          <w:rPr>
            <w:rStyle w:val="Hyperlink"/>
          </w:rPr>
          <w:t xml:space="preserve">WordPress 7.0 JavaScript AI API</w:t>
        </w:r>
      </w:hyperlink>
      <w:r>
        <w:t xml:space="preserve"> </w:t>
      </w:r>
      <w:r>
        <w:t xml:space="preserve">uses REST endpoints under the hood and is intentionally restricted because it can send arbitrary prompts to configured providers. For general plugin and site features, prefer narrow server-side REST endpoints with granular permission checks, and keep prompt construction, provider selection, and connector configuration scoped server-side.</w:t>
      </w:r>
    </w:p>
    <w:p>
      <w:pPr>
        <w:pStyle w:val="Compact"/>
        <w:numPr>
          <w:ilvl w:val="0"/>
          <w:numId w:val="1030"/>
        </w:numPr>
      </w:pPr>
      <w:r>
        <w:rPr>
          <w:b/>
          <w:bCs/>
        </w:rPr>
        <w:t xml:space="preserve">Abilities API Boundaries:</w:t>
      </w:r>
      <w:r>
        <w:t xml:space="preserve"> </w:t>
      </w:r>
      <w:r>
        <w:t xml:space="preserve">Treat the</w:t>
      </w:r>
      <w:r>
        <w:t xml:space="preserve"> </w:t>
      </w:r>
      <w:hyperlink r:id="rId84">
        <w:r>
          <w:rPr>
            <w:rStyle w:val="Hyperlink"/>
          </w:rPr>
          <w:t xml:space="preserve">Abilities API</w:t>
        </w:r>
      </w:hyperlink>
      <w:r>
        <w:t xml:space="preserve"> </w:t>
      </w:r>
      <w:r>
        <w:t xml:space="preserve">as an authorization surface. Abilities exposed through</w:t>
      </w:r>
      <w:r>
        <w:t xml:space="preserve"> </w:t>
      </w:r>
      <w:r>
        <w:rPr>
          <w:rStyle w:val="VerbatimChar"/>
        </w:rPr>
        <w:t xml:space="preserve">/wp-abilities/v1/</w:t>
      </w:r>
      <w:r>
        <w:t xml:space="preserve"> </w:t>
      </w:r>
      <w:r>
        <w:t xml:space="preserve">should follow the same least-privilege design expectations as any other capability-sensitive REST integration, especially where AI agents or workflow tools are involved.</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In WordPress 7.0, the</w:t>
      </w:r>
      <w:r>
        <w:t xml:space="preserve"> </w:t>
      </w:r>
      <w:hyperlink r:id="rId85">
        <w:r>
          <w:rPr>
            <w:rStyle w:val="Hyperlink"/>
          </w:rPr>
          <w:t xml:space="preserve">Connectors API</w:t>
        </w:r>
      </w:hyperlink>
      <w:r>
        <w:t xml:space="preserve"> </w:t>
      </w:r>
      <w:r>
        <w:t xml:space="preserve">can source credentials from environment variables, PHP constants, or the database. Prefer environment variables or</w:t>
      </w:r>
      <w:r>
        <w:t xml:space="preserve"> </w:t>
      </w:r>
      <w:r>
        <w:rPr>
          <w:rStyle w:val="VerbatimChar"/>
        </w:rPr>
        <w:t xml:space="preserve">wp-config.php</w:t>
      </w:r>
      <w:r>
        <w:t xml:space="preserve"> </w:t>
      </w:r>
      <w:r>
        <w:t xml:space="preserve">constants. Database-backed connector secrets are masked in the interface but not encrypted, so they should be treated as a lower-assurance fallback rather than the preferred operational model.</w:t>
      </w:r>
    </w:p>
    <w:bookmarkEnd w:id="88"/>
    <w:bookmarkEnd w:id="89"/>
    <w:bookmarkStart w:id="113" w:name="additional-resources"/>
    <w:p>
      <w:pPr>
        <w:pStyle w:val="Heading2"/>
      </w:pPr>
      <w:r>
        <w:t xml:space="preserve">15. Additional Resources</w:t>
      </w:r>
    </w:p>
    <w:bookmarkStart w:id="94" w:name="wordpress-security-documentation"/>
    <w:p>
      <w:pPr>
        <w:pStyle w:val="Heading3"/>
      </w:pPr>
      <w:r>
        <w:t xml:space="preserve">15.1 WordPress Security Documentation</w:t>
      </w:r>
    </w:p>
    <w:p>
      <w:pPr>
        <w:pStyle w:val="Compact"/>
        <w:numPr>
          <w:ilvl w:val="0"/>
          <w:numId w:val="1031"/>
        </w:numPr>
      </w:pPr>
      <w:hyperlink r:id="rId90">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91">
        <w:r>
          <w:rPr>
            <w:rStyle w:val="Hyperlink"/>
          </w:rPr>
          <w:t xml:space="preserve">source</w:t>
        </w:r>
      </w:hyperlink>
      <w:r>
        <w:t xml:space="preserve">)</w:t>
      </w:r>
    </w:p>
    <w:p>
      <w:pPr>
        <w:pStyle w:val="Compact"/>
        <w:numPr>
          <w:ilvl w:val="0"/>
          <w:numId w:val="1031"/>
        </w:numPr>
      </w:pPr>
      <w:hyperlink r:id="rId92">
        <w:r>
          <w:rPr>
            <w:rStyle w:val="Hyperlink"/>
          </w:rPr>
          <w:t xml:space="preserve">Brute Force Attacks (developer.wordpress.org)</w:t>
        </w:r>
      </w:hyperlink>
    </w:p>
    <w:p>
      <w:pPr>
        <w:pStyle w:val="Compact"/>
        <w:numPr>
          <w:ilvl w:val="0"/>
          <w:numId w:val="1031"/>
        </w:numPr>
      </w:pPr>
      <w:hyperlink r:id="rId93">
        <w:r>
          <w:rPr>
            <w:rStyle w:val="Hyperlink"/>
          </w:rPr>
          <w:t xml:space="preserve">WordPress VIP Security Best Practices</w:t>
        </w:r>
      </w:hyperlink>
    </w:p>
    <w:bookmarkEnd w:id="94"/>
    <w:bookmarkStart w:id="103" w:name="threat-intelligence-and-industry-reports"/>
    <w:p>
      <w:pPr>
        <w:pStyle w:val="Heading3"/>
      </w:pPr>
      <w:r>
        <w:t xml:space="preserve">15.2 Threat Intelligence and Industry Reports</w:t>
      </w:r>
    </w:p>
    <w:p>
      <w:pPr>
        <w:pStyle w:val="Compact"/>
        <w:numPr>
          <w:ilvl w:val="0"/>
          <w:numId w:val="1032"/>
        </w:numPr>
      </w:pPr>
      <w:hyperlink r:id="rId95">
        <w:r>
          <w:rPr>
            <w:rStyle w:val="Hyperlink"/>
          </w:rPr>
          <w:t xml:space="preserve">OWASP Top 10:2025 Web Application Security Risks</w:t>
        </w:r>
      </w:hyperlink>
    </w:p>
    <w:p>
      <w:pPr>
        <w:pStyle w:val="Compact"/>
        <w:numPr>
          <w:ilvl w:val="0"/>
          <w:numId w:val="1032"/>
        </w:numPr>
      </w:pPr>
      <w:hyperlink r:id="rId96">
        <w:r>
          <w:rPr>
            <w:rStyle w:val="Hyperlink"/>
          </w:rPr>
          <w:t xml:space="preserve">Patchstack State of WordPress Security (annual whitepaper)</w:t>
        </w:r>
      </w:hyperlink>
    </w:p>
    <w:p>
      <w:pPr>
        <w:pStyle w:val="Compact"/>
        <w:numPr>
          <w:ilvl w:val="0"/>
          <w:numId w:val="1032"/>
        </w:numPr>
      </w:pPr>
      <w:hyperlink r:id="rId97">
        <w:r>
          <w:rPr>
            <w:rStyle w:val="Hyperlink"/>
          </w:rPr>
          <w:t xml:space="preserve">Wordfence Annual WordPress Security Report</w:t>
        </w:r>
      </w:hyperlink>
    </w:p>
    <w:p>
      <w:pPr>
        <w:pStyle w:val="Compact"/>
        <w:numPr>
          <w:ilvl w:val="0"/>
          <w:numId w:val="1032"/>
        </w:numPr>
      </w:pPr>
      <w:hyperlink r:id="rId98">
        <w:r>
          <w:rPr>
            <w:rStyle w:val="Hyperlink"/>
          </w:rPr>
          <w:t xml:space="preserve">Sucuri Website Threat Research Report</w:t>
        </w:r>
      </w:hyperlink>
    </w:p>
    <w:p>
      <w:pPr>
        <w:pStyle w:val="Compact"/>
        <w:numPr>
          <w:ilvl w:val="0"/>
          <w:numId w:val="1032"/>
        </w:numPr>
      </w:pPr>
      <w:hyperlink r:id="rId99">
        <w:r>
          <w:rPr>
            <w:rStyle w:val="Hyperlink"/>
          </w:rPr>
          <w:t xml:space="preserve">Verizon Data Breach Investigations Report</w:t>
        </w:r>
      </w:hyperlink>
    </w:p>
    <w:p>
      <w:pPr>
        <w:pStyle w:val="Compact"/>
        <w:numPr>
          <w:ilvl w:val="0"/>
          <w:numId w:val="1032"/>
        </w:numPr>
      </w:pPr>
      <w:hyperlink r:id="rId100">
        <w:r>
          <w:rPr>
            <w:rStyle w:val="Hyperlink"/>
          </w:rPr>
          <w:t xml:space="preserve">IBM X-Force Threat Intelligence Index</w:t>
        </w:r>
      </w:hyperlink>
    </w:p>
    <w:p>
      <w:pPr>
        <w:pStyle w:val="Compact"/>
        <w:numPr>
          <w:ilvl w:val="0"/>
          <w:numId w:val="1032"/>
        </w:numPr>
      </w:pPr>
      <w:hyperlink r:id="rId101">
        <w:r>
          <w:rPr>
            <w:rStyle w:val="Hyperlink"/>
          </w:rPr>
          <w:t xml:space="preserve">IBM Cost of a Data Breach Report</w:t>
        </w:r>
      </w:hyperlink>
    </w:p>
    <w:p>
      <w:pPr>
        <w:pStyle w:val="Compact"/>
        <w:numPr>
          <w:ilvl w:val="0"/>
          <w:numId w:val="1032"/>
        </w:numPr>
      </w:pPr>
      <w:hyperlink r:id="rId102">
        <w:r>
          <w:rPr>
            <w:rStyle w:val="Hyperlink"/>
          </w:rPr>
          <w:t xml:space="preserve">CISA Known Exploited Vulnerabilities Catalog</w:t>
        </w:r>
      </w:hyperlink>
    </w:p>
    <w:bookmarkEnd w:id="103"/>
    <w:bookmarkStart w:id="107" w:name="standards-and-frameworks"/>
    <w:p>
      <w:pPr>
        <w:pStyle w:val="Heading3"/>
      </w:pPr>
      <w:r>
        <w:t xml:space="preserve">15.3 Standards and Frameworks</w:t>
      </w:r>
    </w:p>
    <w:p>
      <w:pPr>
        <w:pStyle w:val="Compact"/>
        <w:numPr>
          <w:ilvl w:val="0"/>
          <w:numId w:val="1033"/>
        </w:numPr>
      </w:pPr>
      <w:hyperlink r:id="rId104">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5">
        <w:r>
          <w:rPr>
            <w:rStyle w:val="Hyperlink"/>
          </w:rPr>
          <w:t xml:space="preserve">CIS Benchmarks</w:t>
        </w:r>
      </w:hyperlink>
    </w:p>
    <w:p>
      <w:pPr>
        <w:pStyle w:val="Compact"/>
        <w:numPr>
          <w:ilvl w:val="0"/>
          <w:numId w:val="1033"/>
        </w:numPr>
      </w:pPr>
      <w:hyperlink r:id="rId106">
        <w:r>
          <w:rPr>
            <w:rStyle w:val="Hyperlink"/>
          </w:rPr>
          <w:t xml:space="preserve">ISO/IEC 27000: Information Security Management</w:t>
        </w:r>
      </w:hyperlink>
    </w:p>
    <w:bookmarkEnd w:id="107"/>
    <w:bookmarkStart w:id="110" w:name="X00fc8c82620e041623f6fee31e62d29d538d53d"/>
    <w:p>
      <w:pPr>
        <w:pStyle w:val="Heading3"/>
      </w:pPr>
      <w:r>
        <w:t xml:space="preserve">15.4 Security Culture and Organizational Practices</w:t>
      </w:r>
    </w:p>
    <w:p>
      <w:pPr>
        <w:pStyle w:val="Compact"/>
        <w:numPr>
          <w:ilvl w:val="0"/>
          <w:numId w:val="1034"/>
        </w:numPr>
      </w:pPr>
      <w:hyperlink r:id="rId108">
        <w:r>
          <w:rPr>
            <w:rStyle w:val="Hyperlink"/>
          </w:rPr>
          <w:t xml:space="preserve">KnowBe4: Security Culture</w:t>
        </w:r>
      </w:hyperlink>
    </w:p>
    <w:p>
      <w:pPr>
        <w:pStyle w:val="Compact"/>
        <w:numPr>
          <w:ilvl w:val="0"/>
          <w:numId w:val="1034"/>
        </w:numPr>
      </w:pPr>
      <w:hyperlink r:id="rId109">
        <w:r>
          <w:rPr>
            <w:rStyle w:val="Hyperlink"/>
          </w:rPr>
          <w:t xml:space="preserve">NIST: Users Are Not Stupid — Six Cyber Security Pitfalls Overturned</w:t>
        </w:r>
      </w:hyperlink>
    </w:p>
    <w:bookmarkEnd w:id="110"/>
    <w:bookmarkStart w:id="111"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11"/>
    <w:bookmarkStart w:id="112"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12"/>
    <w:bookmarkEnd w:id="113"/>
    <w:bookmarkStart w:id="114"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91">
        <w:r>
          <w:rPr>
            <w:rStyle w:val="Hyperlink"/>
          </w:rPr>
          <w:t xml:space="preserve">source repository</w:t>
        </w:r>
      </w:hyperlink>
      <w:r>
        <w:t xml:space="preserve">).</w:t>
      </w:r>
    </w:p>
    <w:bookmarkEnd w:id="114"/>
    <w:bookmarkStart w:id="116" w:name="license-and-attribution"/>
    <w:p>
      <w:pPr>
        <w:pStyle w:val="Heading2"/>
      </w:pPr>
      <w:r>
        <w:t xml:space="preserve">License and Attribution</w:t>
      </w:r>
    </w:p>
    <w:p>
      <w:pPr>
        <w:pStyle w:val="FirstParagraph"/>
      </w:pPr>
      <w:r>
        <w:t xml:space="preserve">This document is licensed under the</w:t>
      </w:r>
      <w:r>
        <w:t xml:space="preserve"> </w:t>
      </w:r>
      <w:hyperlink r:id="rId115">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5"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92" Target="https://developer.wordpress.org/advanced-administration/security/brute-force/"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93" Target="https://docs.wpvip.com/security/" TargetMode="External" /><Relationship Type="http://schemas.openxmlformats.org/officeDocument/2006/relationships/hyperlink" Id="rId91"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5" Target="https://make.wordpress.org/core/2026/03/18/introducing-the-connectors-api-in-wordpress-7-0/" TargetMode="External" /><Relationship Type="http://schemas.openxmlformats.org/officeDocument/2006/relationships/hyperlink" Id="rId84" Target="https://make.wordpress.org/core/2026/03/24/client-side-abilities-api-in-wordpress-7-0/" TargetMode="External" /><Relationship Type="http://schemas.openxmlformats.org/officeDocument/2006/relationships/hyperlink" Id="rId83" Target="https://make.wordpress.org/core/2026/03/24/introducing-the-ai-client-in-wordpress-7-0/" TargetMode="External" /><Relationship Type="http://schemas.openxmlformats.org/officeDocument/2006/relationships/hyperlink" Id="rId82" Target="https://make.wordpress.org/core/2026/05/14/wordpress-7-0-field-guide/"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5" Target="https://owasp.org/Top10/2025/" TargetMode="External" /><Relationship Type="http://schemas.openxmlformats.org/officeDocument/2006/relationships/hyperlink" Id="rId104" Target="https://pages.nist.gov/800-63-4/sp800-63b.html" TargetMode="External" /><Relationship Type="http://schemas.openxmlformats.org/officeDocument/2006/relationships/hyperlink" Id="rId96" Target="https://patchstack.com/whitepaper/" TargetMode="External" /><Relationship Type="http://schemas.openxmlformats.org/officeDocument/2006/relationships/hyperlink" Id="rId9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102" Target="https://www.cisa.gov/known-exploited-vulnerabilities-catalog" TargetMode="External" /><Relationship Type="http://schemas.openxmlformats.org/officeDocument/2006/relationships/hyperlink" Id="rId105" Target="https://www.cisecurity.org/cis-benchmarks" TargetMode="External" /><Relationship Type="http://schemas.openxmlformats.org/officeDocument/2006/relationships/hyperlink" Id="rId101" Target="https://www.ibm.com/reports/data-breach" TargetMode="External" /><Relationship Type="http://schemas.openxmlformats.org/officeDocument/2006/relationships/hyperlink" Id="rId100" Target="https://www.ibm.com/reports/threat-intelligence" TargetMode="External" /><Relationship Type="http://schemas.openxmlformats.org/officeDocument/2006/relationships/hyperlink" Id="rId106" Target="https://www.iso.org/standard/73906.html" TargetMode="External" /><Relationship Type="http://schemas.openxmlformats.org/officeDocument/2006/relationships/hyperlink" Id="rId108" Target="https://www.knowbe4.com/security-culture" TargetMode="External" /><Relationship Type="http://schemas.openxmlformats.org/officeDocument/2006/relationships/hyperlink" Id="rId109" Target="https://www.nist.gov/" TargetMode="External" /><Relationship Type="http://schemas.openxmlformats.org/officeDocument/2006/relationships/hyperlink" Id="rId99" Target="https://www.verizon.com/business/resources/reports/dbir/" TargetMode="External" /><Relationship Type="http://schemas.openxmlformats.org/officeDocument/2006/relationships/hyperlink" Id="rId97"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5"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92" Target="https://developer.wordpress.org/advanced-administration/security/brute-force/"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93" Target="https://docs.wpvip.com/security/" TargetMode="External" /><Relationship Type="http://schemas.openxmlformats.org/officeDocument/2006/relationships/hyperlink" Id="rId91"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5" Target="https://make.wordpress.org/core/2026/03/18/introducing-the-connectors-api-in-wordpress-7-0/" TargetMode="External" /><Relationship Type="http://schemas.openxmlformats.org/officeDocument/2006/relationships/hyperlink" Id="rId84" Target="https://make.wordpress.org/core/2026/03/24/client-side-abilities-api-in-wordpress-7-0/" TargetMode="External" /><Relationship Type="http://schemas.openxmlformats.org/officeDocument/2006/relationships/hyperlink" Id="rId83" Target="https://make.wordpress.org/core/2026/03/24/introducing-the-ai-client-in-wordpress-7-0/" TargetMode="External" /><Relationship Type="http://schemas.openxmlformats.org/officeDocument/2006/relationships/hyperlink" Id="rId82" Target="https://make.wordpress.org/core/2026/05/14/wordpress-7-0-field-guide/"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5" Target="https://owasp.org/Top10/2025/" TargetMode="External" /><Relationship Type="http://schemas.openxmlformats.org/officeDocument/2006/relationships/hyperlink" Id="rId104" Target="https://pages.nist.gov/800-63-4/sp800-63b.html" TargetMode="External" /><Relationship Type="http://schemas.openxmlformats.org/officeDocument/2006/relationships/hyperlink" Id="rId96" Target="https://patchstack.com/whitepaper/" TargetMode="External" /><Relationship Type="http://schemas.openxmlformats.org/officeDocument/2006/relationships/hyperlink" Id="rId9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102" Target="https://www.cisa.gov/known-exploited-vulnerabilities-catalog" TargetMode="External" /><Relationship Type="http://schemas.openxmlformats.org/officeDocument/2006/relationships/hyperlink" Id="rId105" Target="https://www.cisecurity.org/cis-benchmarks" TargetMode="External" /><Relationship Type="http://schemas.openxmlformats.org/officeDocument/2006/relationships/hyperlink" Id="rId101" Target="https://www.ibm.com/reports/data-breach" TargetMode="External" /><Relationship Type="http://schemas.openxmlformats.org/officeDocument/2006/relationships/hyperlink" Id="rId100" Target="https://www.ibm.com/reports/threat-intelligence" TargetMode="External" /><Relationship Type="http://schemas.openxmlformats.org/officeDocument/2006/relationships/hyperlink" Id="rId106" Target="https://www.iso.org/standard/73906.html" TargetMode="External" /><Relationship Type="http://schemas.openxmlformats.org/officeDocument/2006/relationships/hyperlink" Id="rId108" Target="https://www.knowbe4.com/security-culture" TargetMode="External" /><Relationship Type="http://schemas.openxmlformats.org/officeDocument/2006/relationships/hyperlink" Id="rId109" Target="https://www.nist.gov/" TargetMode="External" /><Relationship Type="http://schemas.openxmlformats.org/officeDocument/2006/relationships/hyperlink" Id="rId99" Target="https://www.verizon.com/business/resources/reports/dbir/" TargetMode="External" /><Relationship Type="http://schemas.openxmlformats.org/officeDocument/2006/relationships/hyperlink" Id="rId97"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2026-06-17T05:39:30Z</dcterms:created>
  <dcterms:modified xsi:type="dcterms:W3CDTF">2026-06-17T05:39:30Z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