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Date"/>
      </w:pPr>
      <w:r>
        <w:t xml:space="preserve">April 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used by 59.8% of websites whose content management system is known and by 42.5% of all websites (W3Techs, March 21, 2026).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current WordPress core behavior as of WordPress 6.9.1 on March 21, 2026, with forward-looking references to WordPress 7.0 as scheduled for April 9, 2026 called out explicitly where relevant. Where a security-relevant feature was introduced in an earlier release, that release is named explicitly. The principles and architectural details described here remain broadly applicable to recent supported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Patchstack’s 2026 State of WordPress Security report, covering 2025 data, found that 91% of newly reported vulnerabilities were in plugins, 9% were in themes, and only 6 low-priority issues were reported in WordPress core.</w:t>
      </w:r>
    </w:p>
    <w:p>
      <w:pPr>
        <w:pStyle w:val="BodyText"/>
      </w:pPr>
      <w:r>
        <w:t xml:space="preserve">Patchstack’s State of WordPress Security report (2026 edition, covering 2025 data) recorded 11,334 WordPress vulnerabilities — a 42% year-over-year increase following 7,966 in 2024 and 5,948 in 2023. Nearly half (46%) of vulnerabilities had no developer fix at the time of public disclosure, and the weighted median time to first exploit for heavily exploited vulnerabilities was 5 hours. Patchstack also reported that Broken Access Control was the most exploited vulnerability category in its RapidMitigate telemetry, reinforcing that real-world attack pressure does not map cleanly to raw disclosure counts alone.</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more than 50 trusted experts — including lead developers, security researchers, and contributors across the project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(e.g., 6.9, with 7.0 scheduled for April 9, 2026) ship new features on a roughly four-month cycle through a structured process of scoping, development, beta testing, and release candidates. Minor releases (e.g., 6.9.1) contain maintenance and security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Nonces are tied to the current user’s session and become invalid if the user logs in or out. Plugins and themes that handle form submissions or AJAX requests must implement nonce verification — missing or broken nonce checks are among the most common plugin vulnerability patterns. Safe HTTP request wrappers such as</w:t>
      </w:r>
      <w:r>
        <w:t xml:space="preserve"> </w:t>
      </w:r>
      <w:r>
        <w:rPr>
          <w:rStyle w:val="VerbatimChar"/>
        </w:rPr>
        <w:t xml:space="preserve">wp_safe_remote_get()</w:t>
      </w:r>
      <w:r>
        <w:t xml:space="preserve"> </w:t>
      </w:r>
      <w:r>
        <w:t xml:space="preserve">validate URLs with</w:t>
      </w:r>
      <w:r>
        <w:t xml:space="preserve"> </w:t>
      </w:r>
      <w:r>
        <w:rPr>
          <w:rStyle w:val="VerbatimChar"/>
        </w:rPr>
        <w:t xml:space="preserve">wp_http_validate_url()</w:t>
      </w:r>
      <w:r>
        <w:t xml:space="preserve"> </w:t>
      </w:r>
      <w:r>
        <w:t xml:space="preserve">to reduce Server-Side Request Forgery (SSRF) exposure by rejecting unsafe hosts and ports. For defense in depth, supplement these application-layer checks with network-level egress filtering and WAF rules.</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7.3+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includes integrity-verification mechanisms for downloaded packages and installed files, and enterprises can supplement them with checksum validation and version-controlled deploys. These controls reduce the risk of tampered code reaching production, but they should be treated as one layer in a broader software integrity program rather than as a complete supply-chain guarantee on their own.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9"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WordPress.org currently recommends PHP 8.3 or greater. Standardize production deployments on PHP 8.3+ and validate PHP 8.4 in staging before production rollout.</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8"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47">
        <w:r>
          <w:rPr>
            <w:rStyle w:val="Hyperlink"/>
          </w:rPr>
          <w:t xml:space="preserve">WordPress Security Style Guide</w:t>
        </w:r>
      </w:hyperlink>
      <w:r>
        <w:t xml:space="preserve"> </w:t>
      </w:r>
      <w:r>
        <w:t xml:space="preserve">§3.7 explains how to communicate environment-specific recommendations. The</w:t>
      </w:r>
      <w:r>
        <w:t xml:space="preserve"> </w:t>
      </w:r>
      <w:hyperlink r:id="rId43">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8"/>
    <w:bookmarkEnd w:id="49"/>
    <w:bookmarkStart w:id="55" w:name="wordpress-application-hardening"/>
    <w:p>
      <w:pPr>
        <w:pStyle w:val="Heading2"/>
      </w:pPr>
      <w:r>
        <w:t xml:space="preserve">7. WordPress Application Hardening</w:t>
      </w:r>
    </w:p>
    <w:bookmarkStart w:id="50"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50"/>
    <w:bookmarkStart w:id="51"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1"/>
    <w:bookmarkStart w:id="52"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2"/>
    <w:bookmarkStart w:id="53"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3"/>
    <w:bookmarkStart w:id="54"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sends default CORS headers, but WordPress does not verify the incoming</w:t>
      </w:r>
      <w:r>
        <w:t xml:space="preserve"> </w:t>
      </w:r>
      <w:r>
        <w:rPr>
          <w:rStyle w:val="VerbatimChar"/>
        </w:rPr>
        <w:t xml:space="preserve">Origin</w:t>
      </w:r>
      <w:r>
        <w:t xml:space="preserve"> </w:t>
      </w:r>
      <w:r>
        <w:t xml:space="preserve">header on public REST requests. CSRF protection for cookie-authenticated requests relies on REST nonces instead. If your architecture requires stricter cross-origin controls (for example, a decoupled front-end on a separate domain), replace the default behavior with an explicit origin allowlist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4"/>
    <w:bookmarkEnd w:id="55"/>
    <w:bookmarkStart w:id="63"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7"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56">
        <w:r>
          <w:rPr>
            <w:rStyle w:val="Hyperlink"/>
          </w:rPr>
          <w:t xml:space="preserve">WordPress Operations Runbook</w:t>
        </w:r>
      </w:hyperlink>
      <w:r>
        <w:t xml:space="preserve"> </w:t>
      </w:r>
      <w:r>
        <w:t xml:space="preserve">§5.5.</w:t>
      </w:r>
    </w:p>
    <w:bookmarkEnd w:id="57"/>
    <w:bookmarkStart w:id="59"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47">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 Managed platforms may provide this capability natively — for example,</w:t>
      </w:r>
      <w:r>
        <w:t xml:space="preserve"> </w:t>
      </w:r>
      <w:hyperlink r:id="rId58">
        <w:r>
          <w:rPr>
            <w:rStyle w:val="Hyperlink"/>
          </w:rPr>
          <w:t xml:space="preserve">WordPress VIP step-up authentication</w:t>
        </w:r>
      </w:hyperlink>
      <w:r>
        <w:t xml:space="preserve"> </w:t>
      </w:r>
      <w:r>
        <w:t xml:space="preserve">requires MFA reauthentication before accessing higher-risk resources or performing sensitive, irreversible VIP Dashboard actions, with a one-hour unlock window.</w:t>
      </w:r>
    </w:p>
    <w:bookmarkEnd w:id="59"/>
    <w:bookmarkStart w:id="60" w:name="password-policy"/>
    <w:p>
      <w:pPr>
        <w:pStyle w:val="Heading3"/>
      </w:pPr>
      <w:r>
        <w:t xml:space="preserve">8.3 Password Policy</w:t>
      </w:r>
    </w:p>
    <w:p>
      <w:pPr>
        <w:pStyle w:val="Compact"/>
        <w:numPr>
          <w:ilvl w:val="0"/>
          <w:numId w:val="1014"/>
        </w:numPr>
      </w:pPr>
      <w:r>
        <w:t xml:space="preserve">Enforce strong passwords of at least 15 characters as the baseline recommendation, following NIST SP 800-63B Rev. 4 guidance. NIST permits 8 characters only when a password is used solely as part of a multi-factor authentication flow.</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60"/>
    <w:bookmarkStart w:id="61"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61"/>
    <w:bookmarkStart w:id="62"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62"/>
    <w:bookmarkEnd w:id="63"/>
    <w:bookmarkStart w:id="67" w:name="security-plugins-and-monitoring"/>
    <w:p>
      <w:pPr>
        <w:pStyle w:val="Heading2"/>
      </w:pPr>
      <w:r>
        <w:t xml:space="preserve">9. Security Plugins and Monitoring</w:t>
      </w:r>
    </w:p>
    <w:bookmarkStart w:id="64"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4"/>
    <w:bookmarkStart w:id="65"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5"/>
    <w:bookmarkStart w:id="66"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6"/>
    <w:bookmarkEnd w:id="67"/>
    <w:bookmarkStart w:id="68"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8"/>
    <w:bookmarkStart w:id="73"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9"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43">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69"/>
    <w:bookmarkStart w:id="70"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70"/>
    <w:bookmarkStart w:id="71"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71"/>
    <w:bookmarkStart w:id="72"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72"/>
    <w:bookmarkEnd w:id="73"/>
    <w:bookmarkStart w:id="80"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4"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4"/>
    <w:bookmarkStart w:id="75"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5"/>
    <w:bookmarkStart w:id="77"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6">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56">
        <w:r>
          <w:rPr>
            <w:rStyle w:val="Hyperlink"/>
          </w:rPr>
          <w:t xml:space="preserve">WordPress Operations Runbook</w:t>
        </w:r>
      </w:hyperlink>
      <w:r>
        <w:t xml:space="preserve"> </w:t>
      </w:r>
      <w:r>
        <w:t xml:space="preserve">§10.3 and §10.4.</w:t>
      </w:r>
    </w:p>
    <w:bookmarkEnd w:id="77"/>
    <w:bookmarkStart w:id="78"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8"/>
    <w:bookmarkStart w:id="79"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9"/>
    <w:bookmarkEnd w:id="80"/>
    <w:bookmarkStart w:id="81"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 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81"/>
    <w:bookmarkStart w:id="85"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82"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82"/>
    <w:bookmarkStart w:id="83"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83"/>
    <w:bookmarkStart w:id="84"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4"/>
    <w:bookmarkEnd w:id="85"/>
    <w:bookmarkStart w:id="109" w:name="additional-resources"/>
    <w:p>
      <w:pPr>
        <w:pStyle w:val="Heading2"/>
      </w:pPr>
      <w:r>
        <w:t xml:space="preserve">15. Additional Resources</w:t>
      </w:r>
    </w:p>
    <w:bookmarkStart w:id="90" w:name="wordpress-security-documentation"/>
    <w:p>
      <w:pPr>
        <w:pStyle w:val="Heading3"/>
      </w:pPr>
      <w:r>
        <w:t xml:space="preserve">15.1 WordPress Security Documentation</w:t>
      </w:r>
    </w:p>
    <w:p>
      <w:pPr>
        <w:pStyle w:val="Compact"/>
        <w:numPr>
          <w:ilvl w:val="0"/>
          <w:numId w:val="1031"/>
        </w:numPr>
      </w:pPr>
      <w:hyperlink r:id="rId86">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87">
        <w:r>
          <w:rPr>
            <w:rStyle w:val="Hyperlink"/>
          </w:rPr>
          <w:t xml:space="preserve">source</w:t>
        </w:r>
      </w:hyperlink>
      <w:r>
        <w:t xml:space="preserve">)</w:t>
      </w:r>
    </w:p>
    <w:p>
      <w:pPr>
        <w:pStyle w:val="Compact"/>
        <w:numPr>
          <w:ilvl w:val="0"/>
          <w:numId w:val="1031"/>
        </w:numPr>
      </w:pPr>
      <w:hyperlink r:id="rId88">
        <w:r>
          <w:rPr>
            <w:rStyle w:val="Hyperlink"/>
          </w:rPr>
          <w:t xml:space="preserve">Brute Force Attacks (developer.wordpress.org)</w:t>
        </w:r>
      </w:hyperlink>
    </w:p>
    <w:p>
      <w:pPr>
        <w:pStyle w:val="Compact"/>
        <w:numPr>
          <w:ilvl w:val="0"/>
          <w:numId w:val="1031"/>
        </w:numPr>
      </w:pPr>
      <w:hyperlink r:id="rId89">
        <w:r>
          <w:rPr>
            <w:rStyle w:val="Hyperlink"/>
          </w:rPr>
          <w:t xml:space="preserve">WordPress VIP Security Best Practices</w:t>
        </w:r>
      </w:hyperlink>
    </w:p>
    <w:bookmarkEnd w:id="90"/>
    <w:bookmarkStart w:id="99" w:name="threat-intelligence-and-industry-reports"/>
    <w:p>
      <w:pPr>
        <w:pStyle w:val="Heading3"/>
      </w:pPr>
      <w:r>
        <w:t xml:space="preserve">15.2 Threat Intelligence and Industry Reports</w:t>
      </w:r>
    </w:p>
    <w:p>
      <w:pPr>
        <w:pStyle w:val="Compact"/>
        <w:numPr>
          <w:ilvl w:val="0"/>
          <w:numId w:val="1032"/>
        </w:numPr>
      </w:pPr>
      <w:hyperlink r:id="rId91">
        <w:r>
          <w:rPr>
            <w:rStyle w:val="Hyperlink"/>
          </w:rPr>
          <w:t xml:space="preserve">OWASP Top 10:2025 Web Application Security Risks</w:t>
        </w:r>
      </w:hyperlink>
    </w:p>
    <w:p>
      <w:pPr>
        <w:pStyle w:val="Compact"/>
        <w:numPr>
          <w:ilvl w:val="0"/>
          <w:numId w:val="1032"/>
        </w:numPr>
      </w:pPr>
      <w:hyperlink r:id="rId92">
        <w:r>
          <w:rPr>
            <w:rStyle w:val="Hyperlink"/>
          </w:rPr>
          <w:t xml:space="preserve">Patchstack State of WordPress Security (annual whitepaper)</w:t>
        </w:r>
      </w:hyperlink>
    </w:p>
    <w:p>
      <w:pPr>
        <w:pStyle w:val="Compact"/>
        <w:numPr>
          <w:ilvl w:val="0"/>
          <w:numId w:val="1032"/>
        </w:numPr>
      </w:pPr>
      <w:hyperlink r:id="rId93">
        <w:r>
          <w:rPr>
            <w:rStyle w:val="Hyperlink"/>
          </w:rPr>
          <w:t xml:space="preserve">Wordfence Annual WordPress Security Report</w:t>
        </w:r>
      </w:hyperlink>
    </w:p>
    <w:p>
      <w:pPr>
        <w:pStyle w:val="Compact"/>
        <w:numPr>
          <w:ilvl w:val="0"/>
          <w:numId w:val="1032"/>
        </w:numPr>
      </w:pPr>
      <w:hyperlink r:id="rId94">
        <w:r>
          <w:rPr>
            <w:rStyle w:val="Hyperlink"/>
          </w:rPr>
          <w:t xml:space="preserve">Sucuri Website Threat Research Report</w:t>
        </w:r>
      </w:hyperlink>
    </w:p>
    <w:p>
      <w:pPr>
        <w:pStyle w:val="Compact"/>
        <w:numPr>
          <w:ilvl w:val="0"/>
          <w:numId w:val="1032"/>
        </w:numPr>
      </w:pPr>
      <w:hyperlink r:id="rId95">
        <w:r>
          <w:rPr>
            <w:rStyle w:val="Hyperlink"/>
          </w:rPr>
          <w:t xml:space="preserve">Verizon Data Breach Investigations Report</w:t>
        </w:r>
      </w:hyperlink>
    </w:p>
    <w:p>
      <w:pPr>
        <w:pStyle w:val="Compact"/>
        <w:numPr>
          <w:ilvl w:val="0"/>
          <w:numId w:val="1032"/>
        </w:numPr>
      </w:pPr>
      <w:hyperlink r:id="rId96">
        <w:r>
          <w:rPr>
            <w:rStyle w:val="Hyperlink"/>
          </w:rPr>
          <w:t xml:space="preserve">IBM X-Force Threat Intelligence Index</w:t>
        </w:r>
      </w:hyperlink>
    </w:p>
    <w:p>
      <w:pPr>
        <w:pStyle w:val="Compact"/>
        <w:numPr>
          <w:ilvl w:val="0"/>
          <w:numId w:val="1032"/>
        </w:numPr>
      </w:pPr>
      <w:hyperlink r:id="rId97">
        <w:r>
          <w:rPr>
            <w:rStyle w:val="Hyperlink"/>
          </w:rPr>
          <w:t xml:space="preserve">IBM Cost of a Data Breach Report</w:t>
        </w:r>
      </w:hyperlink>
    </w:p>
    <w:p>
      <w:pPr>
        <w:pStyle w:val="Compact"/>
        <w:numPr>
          <w:ilvl w:val="0"/>
          <w:numId w:val="1032"/>
        </w:numPr>
      </w:pPr>
      <w:hyperlink r:id="rId98">
        <w:r>
          <w:rPr>
            <w:rStyle w:val="Hyperlink"/>
          </w:rPr>
          <w:t xml:space="preserve">CISA Known Exploited Vulnerabilities Catalog</w:t>
        </w:r>
      </w:hyperlink>
    </w:p>
    <w:bookmarkEnd w:id="99"/>
    <w:bookmarkStart w:id="103" w:name="standards-and-frameworks"/>
    <w:p>
      <w:pPr>
        <w:pStyle w:val="Heading3"/>
      </w:pPr>
      <w:r>
        <w:t xml:space="preserve">15.3 Standards and Frameworks</w:t>
      </w:r>
    </w:p>
    <w:p>
      <w:pPr>
        <w:pStyle w:val="Compact"/>
        <w:numPr>
          <w:ilvl w:val="0"/>
          <w:numId w:val="1033"/>
        </w:numPr>
      </w:pPr>
      <w:hyperlink r:id="rId100">
        <w:r>
          <w:rPr>
            <w:rStyle w:val="Hyperlink"/>
          </w:rPr>
          <w:t xml:space="preserve">NIST SP 800-63B: Digital Identity Guidelines — Authentication (Revision 4)</w:t>
        </w:r>
      </w:hyperlink>
    </w:p>
    <w:p>
      <w:pPr>
        <w:pStyle w:val="Compact"/>
        <w:numPr>
          <w:ilvl w:val="0"/>
          <w:numId w:val="1033"/>
        </w:numPr>
      </w:pPr>
      <w:hyperlink r:id="rId76">
        <w:r>
          <w:rPr>
            <w:rStyle w:val="Hyperlink"/>
          </w:rPr>
          <w:t xml:space="preserve">NIST SP 800-61r3: Incident Response Recommendations and Considerations</w:t>
        </w:r>
      </w:hyperlink>
    </w:p>
    <w:p>
      <w:pPr>
        <w:pStyle w:val="Compact"/>
        <w:numPr>
          <w:ilvl w:val="0"/>
          <w:numId w:val="1033"/>
        </w:numPr>
      </w:pPr>
      <w:hyperlink r:id="rId101">
        <w:r>
          <w:rPr>
            <w:rStyle w:val="Hyperlink"/>
          </w:rPr>
          <w:t xml:space="preserve">CIS Benchmarks</w:t>
        </w:r>
      </w:hyperlink>
    </w:p>
    <w:p>
      <w:pPr>
        <w:pStyle w:val="Compact"/>
        <w:numPr>
          <w:ilvl w:val="0"/>
          <w:numId w:val="1033"/>
        </w:numPr>
      </w:pPr>
      <w:hyperlink r:id="rId102">
        <w:r>
          <w:rPr>
            <w:rStyle w:val="Hyperlink"/>
          </w:rPr>
          <w:t xml:space="preserve">ISO/IEC 27000: Information Security Management</w:t>
        </w:r>
      </w:hyperlink>
    </w:p>
    <w:bookmarkEnd w:id="103"/>
    <w:bookmarkStart w:id="106" w:name="X00fc8c82620e041623f6fee31e62d29d538d53d"/>
    <w:p>
      <w:pPr>
        <w:pStyle w:val="Heading3"/>
      </w:pPr>
      <w:r>
        <w:t xml:space="preserve">15.4 Security Culture and Organizational Practices</w:t>
      </w:r>
    </w:p>
    <w:p>
      <w:pPr>
        <w:pStyle w:val="Compact"/>
        <w:numPr>
          <w:ilvl w:val="0"/>
          <w:numId w:val="1034"/>
        </w:numPr>
      </w:pPr>
      <w:hyperlink r:id="rId104">
        <w:r>
          <w:rPr>
            <w:rStyle w:val="Hyperlink"/>
          </w:rPr>
          <w:t xml:space="preserve">KnowBe4: Security Culture</w:t>
        </w:r>
      </w:hyperlink>
    </w:p>
    <w:p>
      <w:pPr>
        <w:pStyle w:val="Compact"/>
        <w:numPr>
          <w:ilvl w:val="0"/>
          <w:numId w:val="1034"/>
        </w:numPr>
      </w:pPr>
      <w:hyperlink r:id="rId105">
        <w:r>
          <w:rPr>
            <w:rStyle w:val="Hyperlink"/>
          </w:rPr>
          <w:t xml:space="preserve">NIST: Users Are Not Stupid — Six Cyber Security Pitfalls Overturned</w:t>
        </w:r>
      </w:hyperlink>
    </w:p>
    <w:bookmarkEnd w:id="106"/>
    <w:bookmarkStart w:id="107"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7"/>
    <w:bookmarkStart w:id="108"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8"/>
    <w:bookmarkEnd w:id="109"/>
    <w:bookmarkStart w:id="110" w:name="related-documents"/>
    <w:p>
      <w:pPr>
        <w:pStyle w:val="Heading2"/>
      </w:pPr>
      <w:r>
        <w:t xml:space="preserve">Related Documents</w:t>
      </w:r>
    </w:p>
    <w:p>
      <w:pPr>
        <w:pStyle w:val="Compact"/>
        <w:numPr>
          <w:ilvl w:val="0"/>
          <w:numId w:val="1036"/>
        </w:numPr>
      </w:pPr>
      <w:hyperlink r:id="rId4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4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5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87">
        <w:r>
          <w:rPr>
            <w:rStyle w:val="Hyperlink"/>
          </w:rPr>
          <w:t xml:space="preserve">source repository</w:t>
        </w:r>
      </w:hyperlink>
      <w:r>
        <w:t xml:space="preserve">).</w:t>
      </w:r>
    </w:p>
    <w:bookmarkEnd w:id="110"/>
    <w:bookmarkStart w:id="112" w:name="license-and-attribution"/>
    <w:p>
      <w:pPr>
        <w:pStyle w:val="Heading2"/>
      </w:pPr>
      <w:r>
        <w:t xml:space="preserve">License and Attribution</w:t>
      </w:r>
    </w:p>
    <w:p>
      <w:pPr>
        <w:pStyle w:val="FirstParagraph"/>
      </w:pPr>
      <w:r>
        <w:t xml:space="preserve">This document is licensed under the</w:t>
      </w:r>
      <w:r>
        <w:t xml:space="preserve"> </w:t>
      </w:r>
      <w:hyperlink r:id="rId111">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bookmarkEnd w:id="112"/>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111" Target="https://creativecommons.org/licenses/by-sa/4.0/" TargetMode="External" /><Relationship Type="http://schemas.openxmlformats.org/officeDocument/2006/relationships/hyperlink" Id="rId76" Target="https://csrc.nist.gov/pubs/sp/800/61/r3/final" TargetMode="External" /><Relationship Type="http://schemas.openxmlformats.org/officeDocument/2006/relationships/hyperlink" Id="rId88" Target="https://developer.wordpress.org/advanced-administration/security/brute-force/" TargetMode="External" /><Relationship Type="http://schemas.openxmlformats.org/officeDocument/2006/relationships/hyperlink" Id="rId86" Target="https://developer.wordpress.org/advanced-administration/security/hardening/" TargetMode="External" /><Relationship Type="http://schemas.openxmlformats.org/officeDocument/2006/relationships/hyperlink" Id="rId58" Target="https://docs.wpvip.com/manage-user-access/vip-dashboard/step-up-auth/" TargetMode="External" /><Relationship Type="http://schemas.openxmlformats.org/officeDocument/2006/relationships/hyperlink" Id="rId89" Target="https://docs.wpvip.com/security/" TargetMode="External" /><Relationship Type="http://schemas.openxmlformats.org/officeDocument/2006/relationships/hyperlink" Id="rId87"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1" Target="https://owasp.org/Top10/2025/" TargetMode="External" /><Relationship Type="http://schemas.openxmlformats.org/officeDocument/2006/relationships/hyperlink" Id="rId100" Target="https://pages.nist.gov/800-63-4/sp800-63b.html" TargetMode="External" /><Relationship Type="http://schemas.openxmlformats.org/officeDocument/2006/relationships/hyperlink" Id="rId92" Target="https://patchstack.com/whitepaper/" TargetMode="External" /><Relationship Type="http://schemas.openxmlformats.org/officeDocument/2006/relationships/hyperlink" Id="rId94"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8" Target="https://www.cisa.gov/known-exploited-vulnerabilities-catalog" TargetMode="External" /><Relationship Type="http://schemas.openxmlformats.org/officeDocument/2006/relationships/hyperlink" Id="rId101" Target="https://www.cisecurity.org/cis-benchmarks" TargetMode="External" /><Relationship Type="http://schemas.openxmlformats.org/officeDocument/2006/relationships/hyperlink" Id="rId97" Target="https://www.ibm.com/reports/data-breach" TargetMode="External" /><Relationship Type="http://schemas.openxmlformats.org/officeDocument/2006/relationships/hyperlink" Id="rId96" Target="https://www.ibm.com/reports/threat-intelligence" TargetMode="External" /><Relationship Type="http://schemas.openxmlformats.org/officeDocument/2006/relationships/hyperlink" Id="rId102" Target="https://www.iso.org/standard/73906.html" TargetMode="External" /><Relationship Type="http://schemas.openxmlformats.org/officeDocument/2006/relationships/hyperlink" Id="rId104" Target="https://www.knowbe4.com/security-culture" TargetMode="External" /><Relationship Type="http://schemas.openxmlformats.org/officeDocument/2006/relationships/hyperlink" Id="rId105" Target="https://www.nist.gov/" TargetMode="External" /><Relationship Type="http://schemas.openxmlformats.org/officeDocument/2006/relationships/hyperlink" Id="rId95" Target="https://www.verizon.com/business/resources/reports/dbir/" TargetMode="External" /><Relationship Type="http://schemas.openxmlformats.org/officeDocument/2006/relationships/hyperlink" Id="rId93"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1" Target="https://creativecommons.org/licenses/by-sa/4.0/" TargetMode="External" /><Relationship Type="http://schemas.openxmlformats.org/officeDocument/2006/relationships/hyperlink" Id="rId76" Target="https://csrc.nist.gov/pubs/sp/800/61/r3/final" TargetMode="External" /><Relationship Type="http://schemas.openxmlformats.org/officeDocument/2006/relationships/hyperlink" Id="rId88" Target="https://developer.wordpress.org/advanced-administration/security/brute-force/" TargetMode="External" /><Relationship Type="http://schemas.openxmlformats.org/officeDocument/2006/relationships/hyperlink" Id="rId86" Target="https://developer.wordpress.org/advanced-administration/security/hardening/" TargetMode="External" /><Relationship Type="http://schemas.openxmlformats.org/officeDocument/2006/relationships/hyperlink" Id="rId58" Target="https://docs.wpvip.com/manage-user-access/vip-dashboard/step-up-auth/" TargetMode="External" /><Relationship Type="http://schemas.openxmlformats.org/officeDocument/2006/relationships/hyperlink" Id="rId89" Target="https://docs.wpvip.com/security/" TargetMode="External" /><Relationship Type="http://schemas.openxmlformats.org/officeDocument/2006/relationships/hyperlink" Id="rId87"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1" Target="https://owasp.org/Top10/2025/" TargetMode="External" /><Relationship Type="http://schemas.openxmlformats.org/officeDocument/2006/relationships/hyperlink" Id="rId100" Target="https://pages.nist.gov/800-63-4/sp800-63b.html" TargetMode="External" /><Relationship Type="http://schemas.openxmlformats.org/officeDocument/2006/relationships/hyperlink" Id="rId92" Target="https://patchstack.com/whitepaper/" TargetMode="External" /><Relationship Type="http://schemas.openxmlformats.org/officeDocument/2006/relationships/hyperlink" Id="rId94"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8" Target="https://www.cisa.gov/known-exploited-vulnerabilities-catalog" TargetMode="External" /><Relationship Type="http://schemas.openxmlformats.org/officeDocument/2006/relationships/hyperlink" Id="rId101" Target="https://www.cisecurity.org/cis-benchmarks" TargetMode="External" /><Relationship Type="http://schemas.openxmlformats.org/officeDocument/2006/relationships/hyperlink" Id="rId97" Target="https://www.ibm.com/reports/data-breach" TargetMode="External" /><Relationship Type="http://schemas.openxmlformats.org/officeDocument/2006/relationships/hyperlink" Id="rId96" Target="https://www.ibm.com/reports/threat-intelligence" TargetMode="External" /><Relationship Type="http://schemas.openxmlformats.org/officeDocument/2006/relationships/hyperlink" Id="rId102" Target="https://www.iso.org/standard/73906.html" TargetMode="External" /><Relationship Type="http://schemas.openxmlformats.org/officeDocument/2006/relationships/hyperlink" Id="rId104" Target="https://www.knowbe4.com/security-culture" TargetMode="External" /><Relationship Type="http://schemas.openxmlformats.org/officeDocument/2006/relationships/hyperlink" Id="rId105" Target="https://www.nist.gov/" TargetMode="External" /><Relationship Type="http://schemas.openxmlformats.org/officeDocument/2006/relationships/hyperlink" Id="rId95" Target="https://www.verizon.com/business/resources/reports/dbir/" TargetMode="External" /><Relationship Type="http://schemas.openxmlformats.org/officeDocument/2006/relationships/hyperlink" Id="rId93"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
  <cp:keywords/>
  <dcterms:created xsi:type="dcterms:W3CDTF">2026-04-05T20:22:15Z</dcterms:created>
  <dcterms:modified xsi:type="dcterms:W3CDTF">2026-04-05T20:22:15Z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5, 2026</vt:lpwstr>
  </property>
  <property fmtid="{D5CDD505-2E9C-101B-9397-08002B2CF9AE}" pid="3" name="editor">
    <vt:lpwstr>Dan Knauss</vt:lpwstr>
  </property>
  <property fmtid="{D5CDD505-2E9C-101B-9397-08002B2CF9AE}" pid="4" name="subtitle">
    <vt:lpwstr>Enterprise Best Practices and Threat Mitigation</vt:lpwstr>
  </property>
  <property fmtid="{D5CDD505-2E9C-101B-9397-08002B2CF9AE}" pid="5" name="version">
    <vt:lpwstr>1.1</vt:lpwstr>
  </property>
</Properties>
</file>