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document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WordPress is a free and open-source content management system (CMS) licensed under the GNU General Public License (GPLv2 or later). It is the most widely used CMS in the world, powering more than 43% of the top 10 million websites on the internet and holding a 63% CMS market share (W3Techs, September 2025). Its extensibility through plugins and themes, combined with a mature development community, makes it a popular choice for organizations of all sizes.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executive-summary"/>
    <w:p>
      <w:pPr>
        <w:pStyle w:val="Heading2"/>
      </w:pPr>
      <w:r>
        <w:t xml:space="preserve">2. Executive Summary</w:t>
      </w:r>
    </w:p>
    <w:p>
      <w:pPr>
        <w:pStyle w:val="FirstParagraph"/>
      </w:pPr>
      <w:r>
        <w:t xml:space="preserve">Since its inception in 2003, WordPress has undergone continuous security hardening. Its core software addresses common security threats, including those identified in the OWASP Top 10. The WordPress Security Team, in collaboration with the Core Leadership Team and the global community, identifies and resolves security issues in the core software distributed at WordPress.org.</w:t>
      </w:r>
    </w:p>
    <w:p>
      <w:pPr>
        <w:pStyle w:val="BodyText"/>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All three reports — Patchstack’s State of WordPress Security, the Verizon DBIR, and IBM’s Cost of a Data Breach — are published annually and should be re-evaluated each year for the latest figures.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8"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The WordPress Security Team comprises approximately 50 experts, including lead developers and security researchers, some of whom are Automattic employees (see</w:t>
      </w:r>
      <w:r>
        <w:t xml:space="preserve"> </w:t>
      </w:r>
      <w:hyperlink r:id="rId22">
        <w:r>
          <w:rPr>
            <w:rStyle w:val="Hyperlink"/>
          </w:rPr>
          <w:t xml:space="preserve">WordPress.org Security page</w:t>
        </w:r>
      </w:hyperlink>
      <w:r>
        <w:t xml:space="preserve">). The team collaborates with well-known security researchers, hosting companies, and other stakeholders in the web security field.</w:t>
      </w:r>
    </w:p>
    <w:p>
      <w:pPr>
        <w:pStyle w:val="BodyText"/>
      </w:pPr>
      <w:r>
        <w:t xml:space="preserve">The team practices responsible disclosure. Potential vulnerabilities can be reported through the</w:t>
      </w:r>
      <w:r>
        <w:t xml:space="preserve"> </w:t>
      </w:r>
      <w:hyperlink r:id="rId23">
        <w:r>
          <w:rPr>
            <w:rStyle w:val="Hyperlink"/>
          </w:rPr>
          <w:t xml:space="preserve">WordPress HackerOne program</w:t>
        </w:r>
      </w:hyperlink>
      <w:r>
        <w:t xml:space="preserve">. Reports are acknowledged upon receipt, and the team works to verify, assess severity, and develop patches. Critical fixes may be pushed as immediate security releases.</w:t>
      </w:r>
    </w:p>
    <w:bookmarkEnd w:id="24"/>
    <w:bookmarkStart w:id="25" w:name="the-release-cycle"/>
    <w:p>
      <w:pPr>
        <w:pStyle w:val="Heading3"/>
      </w:pPr>
      <w:r>
        <w:t xml:space="preserve">3.2 The Release Cycle</w:t>
      </w:r>
    </w:p>
    <w:p>
      <w:pPr>
        <w:pStyle w:val="FirstParagraph"/>
      </w:pPr>
      <w:r>
        <w:t xml:space="preserve">Each WordPress release cycle lasts approximately four to five months and follows a structured process: planning and feature scoping, active development, beta releases with community testing, release candidates with string freezes, and final launch. Major versions (e.g., 6.5, 6.6) may add features and APIs, while minor versions (e.g., 6.5.1, 6.5.2) are reserved exclusively for security and critical bug fixes.</w:t>
      </w:r>
    </w:p>
    <w:bookmarkEnd w:id="25"/>
    <w:bookmarkStart w:id="26" w:name="automatic-background-updates"/>
    <w:p>
      <w:pPr>
        <w:pStyle w:val="Heading3"/>
      </w:pPr>
      <w:r>
        <w:t xml:space="preserve">3.3 Automatic Background Updates</w:t>
      </w:r>
    </w:p>
    <w:p>
      <w:pPr>
        <w:pStyle w:val="FirstParagraph"/>
      </w:pPr>
      <w:r>
        <w:t xml:space="preserve">Since WordPress 3.7, the platform has supported automatic background updates for minor security releases. This means security patches can be deployed without requiring site owner intervention. The core team pushes security updates for all versions capable of background updates, ensuring broad coverage.</w:t>
      </w:r>
    </w:p>
    <w:p>
      <w:pPr>
        <w:pStyle w:val="BodyText"/>
      </w:pPr>
      <w:r>
        <w:t xml:space="preserve">Site owners can disable this feature but are strongly encouraged to keep it enabled. For enterprise environments, managed hosting providers typically handle update deployment with additional testing and rollback capabilities.</w:t>
      </w:r>
    </w:p>
    <w:bookmarkEnd w:id="26"/>
    <w:bookmarkStart w:id="27" w:name="backward-compatibility"/>
    <w:p>
      <w:pPr>
        <w:pStyle w:val="Heading3"/>
      </w:pPr>
      <w:r>
        <w:t xml:space="preserve">3.4 Backward Compatibility</w:t>
      </w:r>
    </w:p>
    <w:p>
      <w:pPr>
        <w:pStyle w:val="FirstParagraph"/>
      </w:pPr>
      <w:r>
        <w:t xml:space="preserve">WordPress maintains a strong commitment to backward compatibility. This ensures that themes, plugins, and custom code continue to function when the core software is updated, reducing friction for site owners to stay current with security releases.</w:t>
      </w:r>
    </w:p>
    <w:bookmarkEnd w:id="27"/>
    <w:bookmarkEnd w:id="28"/>
    <w:bookmarkStart w:id="39"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29"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HTTP requests issued by WordPress are filtered to prevent access to loopback and private IP addresses, mitigating server-side request forgery (SSRF). The HTTP API restricts requests to standard ports and provides hooks for additional filtering. SSRF — previously a standalone category (A10) in the OWASP Top 10:2021 — is classified under Broken Access Control in the 2025 edition.</w:t>
      </w:r>
    </w:p>
    <w:bookmarkEnd w:id="29"/>
    <w:bookmarkStart w:id="30"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0"/>
    <w:bookmarkStart w:id="31"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1"/>
    <w:bookmarkStart w:id="32" w:name="a042025-cryptographic-failures"/>
    <w:p>
      <w:pPr>
        <w:pStyle w:val="Heading3"/>
      </w:pPr>
      <w:r>
        <w:t xml:space="preserve">A04:2025 — Cryptographic Failures</w:t>
      </w:r>
    </w:p>
    <w:p>
      <w:pPr>
        <w:pStyle w:val="FirstParagraph"/>
      </w:pPr>
      <w:r>
        <w:t xml:space="preserve">As of WordPress 6.8, user passwords are hashed using bcrypt by default, with SHA-384 pre-hashing to address bcrypt’s 72-byte input limit. Application passwords, password reset keys, and other security tokens use the BLAKE2b algorithm via Sodium. Sites with the necessary server support (PHP 7.2+ with the sodium or argon2 extension) can enable Argon2id hashing via the</w:t>
      </w:r>
      <w:r>
        <w:t xml:space="preserve"> </w:t>
      </w:r>
      <w:r>
        <w:rPr>
          <w:rStyle w:val="VerbatimChar"/>
        </w:rPr>
        <w:t xml:space="preserve">wp_hash_password</w:t>
      </w:r>
      <w:r>
        <w:t xml:space="preserve"> </w:t>
      </w:r>
      <w:r>
        <w:t xml:space="preserve">core 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2"/>
    <w:bookmarkStart w:id="33"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3"/>
    <w:bookmarkStart w:id="34"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4"/>
    <w:bookmarkStart w:id="35" w:name="a072025-authentication-failures"/>
    <w:p>
      <w:pPr>
        <w:pStyle w:val="Heading3"/>
      </w:pPr>
      <w:r>
        <w:t xml:space="preserve">A07:2025 — Authentication Failures</w:t>
      </w:r>
    </w:p>
    <w:p>
      <w:pPr>
        <w:pStyle w:val="FirstParagraph"/>
      </w:pPr>
      <w:r>
        <w:t xml:space="preserve">WordPress manages authentication server-side with salted, hashed passwords and secure session cookies. Sessions are destroyed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5"/>
    <w:bookmarkStart w:id="36"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6"/>
    <w:bookmarkStart w:id="37"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7"/>
    <w:bookmarkStart w:id="38"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8"/>
    <w:bookmarkEnd w:id="39"/>
    <w:bookmarkStart w:id="41"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0"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0"/>
    <w:bookmarkEnd w:id="41"/>
    <w:bookmarkStart w:id="46"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2"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2"/>
    <w:bookmarkStart w:id="43"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a non-standard SSH port).</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3"/>
    <w:bookmarkStart w:id="44"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Use SFTP only; disable FTP entirely.</w:t>
      </w:r>
    </w:p>
    <w:p>
      <w:pPr>
        <w:numPr>
          <w:ilvl w:val="0"/>
          <w:numId w:val="1005"/>
        </w:numPr>
      </w:pPr>
      <w:r>
        <w:t xml:space="preserve">Enforce per-site process isolation in containerized or chroot environments.</w:t>
      </w:r>
    </w:p>
    <w:p>
      <w:pPr>
        <w:numPr>
          <w:ilvl w:val="0"/>
          <w:numId w:val="1005"/>
        </w:numPr>
      </w:pPr>
      <w:r>
        <w:t xml:space="preserve">Place</w:t>
      </w:r>
      <w:r>
        <w:t xml:space="preserve"> </w:t>
      </w:r>
      <w:r>
        <w:rPr>
          <w:rStyle w:val="VerbatimChar"/>
        </w:rPr>
        <w:t xml:space="preserve">wp-config.php</w:t>
      </w:r>
      <w:r>
        <w:t xml:space="preserve"> </w:t>
      </w:r>
      <w:r>
        <w:t xml:space="preserve">above the document root where server configuration allows.</w:t>
      </w:r>
    </w:p>
    <w:bookmarkEnd w:id="44"/>
    <w:bookmarkStart w:id="45" w:name="file-permissions"/>
    <w:p>
      <w:pPr>
        <w:pStyle w:val="Heading3"/>
      </w:pPr>
      <w:r>
        <w:t xml:space="preserve">6.4 File Permissions</w:t>
      </w:r>
    </w:p>
    <w:p>
      <w:pPr>
        <w:pStyle w:val="FirstParagraph"/>
      </w:pPr>
      <w:r>
        <w:t xml:space="preserve">Restrict file permissions on WordPress files so they cannot be modified by the web server process where possible. Recommended permissions:</w:t>
      </w:r>
    </w:p>
    <w:p>
      <w:pPr>
        <w:numPr>
          <w:ilvl w:val="0"/>
          <w:numId w:val="1006"/>
        </w:numPr>
      </w:pPr>
      <w:r>
        <w:t xml:space="preserve">Directories: 755 (or 750 where group permissions are not needed).</w:t>
      </w:r>
    </w:p>
    <w:p>
      <w:pPr>
        <w:numPr>
          <w:ilvl w:val="0"/>
          <w:numId w:val="1006"/>
        </w:numPr>
      </w:pPr>
      <w:r>
        <w:t xml:space="preserve">Files: 644 (or 640).</w:t>
      </w:r>
    </w:p>
    <w:p>
      <w:pPr>
        <w:numPr>
          <w:ilvl w:val="0"/>
          <w:numId w:val="1006"/>
        </w:numPr>
      </w:pPr>
      <w:r>
        <w:t xml:space="preserve">wp-config.php: 600 or 640, owned by the system user, not the web server user.</w:t>
      </w:r>
    </w:p>
    <w:p>
      <w:pPr>
        <w:numPr>
          <w:ilvl w:val="0"/>
          <w:numId w:val="1006"/>
        </w:numPr>
      </w:pPr>
      <w:r>
        <w:t xml:space="preserve">Set</w:t>
      </w:r>
      <w:r>
        <w:t xml:space="preserve"> </w:t>
      </w:r>
      <w:r>
        <w:rPr>
          <w:rStyle w:val="VerbatimChar"/>
        </w:rPr>
        <w:t xml:space="preserve">DISALLOW_FILE_MODS</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prevent all file modifications through the WordPress admin interface, including plugin/theme installation and updates (handle these through deployment pipelines instead).</w:t>
      </w:r>
    </w:p>
    <w:bookmarkEnd w:id="45"/>
    <w:bookmarkEnd w:id="46"/>
    <w:bookmarkStart w:id="51" w:name="wordpress-application-hardening"/>
    <w:p>
      <w:pPr>
        <w:pStyle w:val="Heading2"/>
      </w:pPr>
      <w:r>
        <w:t xml:space="preserve">7. WordPress Application Hardening</w:t>
      </w:r>
    </w:p>
    <w:bookmarkStart w:id="47"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7"/>
        </w:numPr>
      </w:pPr>
      <w:r>
        <w:rPr>
          <w:rStyle w:val="VerbatimChar"/>
        </w:rPr>
        <w:t xml:space="preserve">DISALLOW_FILE_EDIT</w:t>
      </w:r>
      <w:r>
        <w:t xml:space="preserve"> </w:t>
      </w:r>
      <w:r>
        <w:t xml:space="preserve">— Disables the built-in theme and plugin editor in the admin panel.</w:t>
      </w:r>
    </w:p>
    <w:p>
      <w:pPr>
        <w:numPr>
          <w:ilvl w:val="0"/>
          <w:numId w:val="1007"/>
        </w:numPr>
      </w:pPr>
      <w:r>
        <w:rPr>
          <w:rStyle w:val="VerbatimChar"/>
        </w:rPr>
        <w:t xml:space="preserve">DISALLOW_FILE_MODS</w:t>
      </w:r>
      <w:r>
        <w:t xml:space="preserve"> </w:t>
      </w:r>
      <w:r>
        <w:t xml:space="preserve">— Prevents all file modifications including plugin/theme uploads and updates.</w:t>
      </w:r>
    </w:p>
    <w:p>
      <w:pPr>
        <w:numPr>
          <w:ilvl w:val="0"/>
          <w:numId w:val="1007"/>
        </w:numPr>
      </w:pPr>
      <w:r>
        <w:rPr>
          <w:rStyle w:val="VerbatimChar"/>
        </w:rPr>
        <w:t xml:space="preserve">FORCE_SSL_ADMIN</w:t>
      </w:r>
      <w:r>
        <w:t xml:space="preserve"> </w:t>
      </w:r>
      <w:r>
        <w:t xml:space="preserve">— Forces HTTPS on all admin and login pages.</w:t>
      </w:r>
    </w:p>
    <w:p>
      <w:pPr>
        <w:numPr>
          <w:ilvl w:val="0"/>
          <w:numId w:val="1007"/>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7"/>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7"/>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7"/>
    <w:bookmarkStart w:id="48" w:name="disable-unused-features"/>
    <w:p>
      <w:pPr>
        <w:pStyle w:val="Heading3"/>
      </w:pPr>
      <w:r>
        <w:t xml:space="preserve">7.2 Disable Unused Features</w:t>
      </w:r>
    </w:p>
    <w:p>
      <w:pPr>
        <w:numPr>
          <w:ilvl w:val="0"/>
          <w:numId w:val="1008"/>
        </w:numPr>
      </w:pPr>
      <w:r>
        <w:t xml:space="preserve">Disable XML-RPC if not required (common attack vector for brute-force amplification).</w:t>
      </w:r>
    </w:p>
    <w:p>
      <w:pPr>
        <w:numPr>
          <w:ilvl w:val="0"/>
          <w:numId w:val="1008"/>
        </w:numPr>
      </w:pPr>
      <w:r>
        <w:t xml:space="preserve">Disable trackbacks and pingbacks.</w:t>
      </w:r>
    </w:p>
    <w:p>
      <w:pPr>
        <w:numPr>
          <w:ilvl w:val="0"/>
          <w:numId w:val="1008"/>
        </w:numPr>
      </w:pPr>
      <w:r>
        <w:t xml:space="preserve">Disable the built-in file editor.</w:t>
      </w:r>
    </w:p>
    <w:p>
      <w:pPr>
        <w:numPr>
          <w:ilvl w:val="0"/>
          <w:numId w:val="1008"/>
        </w:numPr>
      </w:pPr>
      <w:r>
        <w:t xml:space="preserve">Prevent username enumeration via the REST API and author archives.</w:t>
      </w:r>
    </w:p>
    <w:p>
      <w:pPr>
        <w:numPr>
          <w:ilvl w:val="0"/>
          <w:numId w:val="1008"/>
        </w:numPr>
      </w:pPr>
      <w:r>
        <w:t xml:space="preserve">Restrict unauthenticated REST API access to prevent information leakage about site structure, content, and users. Allow specific public endpoints only where required (e.g., for decoupled front-ends or front-end search).</w:t>
      </w:r>
    </w:p>
    <w:p>
      <w:pPr>
        <w:numPr>
          <w:ilvl w:val="0"/>
          <w:numId w:val="1008"/>
        </w:numPr>
      </w:pPr>
      <w:r>
        <w:t xml:space="preserve">Disable the built-in</w:t>
      </w:r>
      <w:r>
        <w:t xml:space="preserve"> </w:t>
      </w:r>
      <w:r>
        <w:rPr>
          <w:rStyle w:val="VerbatimChar"/>
        </w:rPr>
        <w:t xml:space="preserve">wp-cron.php</w:t>
      </w:r>
      <w:r>
        <w:t xml:space="preserve"> </w:t>
      </w:r>
      <w:r>
        <w:t xml:space="preserve">pseudo-cron by setting</w:t>
      </w:r>
      <w:r>
        <w:t xml:space="preserve"> </w:t>
      </w:r>
      <w:r>
        <w:rPr>
          <w:rStyle w:val="VerbatimChar"/>
        </w:rPr>
        <w:t xml:space="preserve">DISABLE_WP_CRON</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and replace it with a system-level cron job (e.g.,</w:t>
      </w:r>
      <w:r>
        <w:t xml:space="preserve"> </w:t>
      </w:r>
      <w:r>
        <w:rPr>
          <w:rStyle w:val="VerbatimChar"/>
        </w:rPr>
        <w:t xml:space="preserve">*/5 * * * * cd /path/to/wordpress &amp;&amp; wp cron event run --due-now</w:t>
      </w:r>
      <w:r>
        <w:t xml:space="preserve">). Block direct external access to</w:t>
      </w:r>
      <w:r>
        <w:t xml:space="preserve"> </w:t>
      </w:r>
      <w:r>
        <w:rPr>
          <w:rStyle w:val="VerbatimChar"/>
        </w:rPr>
        <w:t xml:space="preserve">wp-cron.php</w:t>
      </w:r>
      <w:r>
        <w:t xml:space="preserve"> </w:t>
      </w:r>
      <w:r>
        <w:t xml:space="preserve">at the web server level. The built-in pseudo-cron fires on page loads, making execution timing unpredictable and exposing an additional PHP endpoint to resource exhaustion attacks.</w:t>
      </w:r>
    </w:p>
    <w:bookmarkEnd w:id="48"/>
    <w:bookmarkStart w:id="49" w:name="database-security"/>
    <w:p>
      <w:pPr>
        <w:pStyle w:val="Heading3"/>
      </w:pPr>
      <w:r>
        <w:t xml:space="preserve">7.3 Database Security</w:t>
      </w:r>
    </w:p>
    <w:p>
      <w:pPr>
        <w:numPr>
          <w:ilvl w:val="0"/>
          <w:numId w:val="1009"/>
        </w:numPr>
      </w:pPr>
      <w:r>
        <w:t xml:space="preserve">Use a unique, non-default database table prefix.</w:t>
      </w:r>
    </w:p>
    <w:p>
      <w:pPr>
        <w:numPr>
          <w:ilvl w:val="0"/>
          <w:numId w:val="1009"/>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09"/>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09"/>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09"/>
        </w:numPr>
      </w:pPr>
      <w:r>
        <w:t xml:space="preserve">Encrypt sensitive data stored in the database, including API keys, SMTP credentials, and payment gateway tokens.</w:t>
      </w:r>
    </w:p>
    <w:p>
      <w:pPr>
        <w:numPr>
          <w:ilvl w:val="0"/>
          <w:numId w:val="1009"/>
        </w:numPr>
      </w:pPr>
      <w:r>
        <w:t xml:space="preserve">Use a dedicated database user per WordPress installation.</w:t>
      </w:r>
    </w:p>
    <w:bookmarkEnd w:id="49"/>
    <w:bookmarkStart w:id="50"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0"/>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0"/>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0"/>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0"/>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0"/>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0"/>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0"/>
    <w:bookmarkEnd w:id="51"/>
    <w:bookmarkStart w:id="57"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2" w:name="multi-factor-authentication"/>
    <w:p>
      <w:pPr>
        <w:pStyle w:val="Heading3"/>
      </w:pPr>
      <w:r>
        <w:t xml:space="preserve">8.1 Multi-Factor Authentication</w:t>
      </w:r>
    </w:p>
    <w:p>
      <w:pPr>
        <w:numPr>
          <w:ilvl w:val="0"/>
          <w:numId w:val="1011"/>
        </w:numPr>
      </w:pPr>
      <w:r>
        <w:t xml:space="preserve">Require multi-factor authentication (MFA) or two-factor authentication (2FA) for all administrator and editor accounts.</w:t>
      </w:r>
    </w:p>
    <w:p>
      <w:pPr>
        <w:numPr>
          <w:ilvl w:val="0"/>
          <w:numId w:val="1011"/>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1"/>
        </w:numPr>
      </w:pPr>
      <w:r>
        <w:t xml:space="preserve">Do not use SMS-based 2FA, as it is vulnerable to SIM-swapping attacks.</w:t>
      </w:r>
    </w:p>
    <w:p>
      <w:pPr>
        <w:numPr>
          <w:ilvl w:val="0"/>
          <w:numId w:val="1011"/>
        </w:numPr>
      </w:pPr>
      <w:r>
        <w:t xml:space="preserve">Ensure 2FA secrets are encrypted at rest in the database.</w:t>
      </w:r>
    </w:p>
    <w:p>
      <w:pPr>
        <w:numPr>
          <w:ilvl w:val="0"/>
          <w:numId w:val="1011"/>
        </w:numPr>
      </w:pPr>
      <w:r>
        <w:t xml:space="preserve">Encourage all users, including contributors and subscribers, to enable 2FA.</w:t>
      </w:r>
    </w:p>
    <w:bookmarkEnd w:id="52"/>
    <w:bookmarkStart w:id="53"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3"/>
    <w:bookmarkStart w:id="54" w:name="password-policy"/>
    <w:p>
      <w:pPr>
        <w:pStyle w:val="Heading3"/>
      </w:pPr>
      <w:r>
        <w:t xml:space="preserve">8.3 Password Policy</w:t>
      </w:r>
    </w:p>
    <w:p>
      <w:pPr>
        <w:pStyle w:val="Compact"/>
        <w:numPr>
          <w:ilvl w:val="0"/>
          <w:numId w:val="1012"/>
        </w:numPr>
      </w:pPr>
      <w:r>
        <w:t xml:space="preserve">Enforce strong passwords of at least 12 characters, following NIST SP 800-63B guidelines.</w:t>
      </w:r>
    </w:p>
    <w:p>
      <w:pPr>
        <w:pStyle w:val="Compact"/>
        <w:numPr>
          <w:ilvl w:val="0"/>
          <w:numId w:val="1012"/>
        </w:numPr>
      </w:pPr>
      <w:r>
        <w:t xml:space="preserve">Block passwords found in known breach databases (e.g., Have I Been Pwned).</w:t>
      </w:r>
    </w:p>
    <w:p>
      <w:pPr>
        <w:pStyle w:val="Compact"/>
        <w:numPr>
          <w:ilvl w:val="0"/>
          <w:numId w:val="1012"/>
        </w:numPr>
      </w:pPr>
      <w:r>
        <w:t xml:space="preserve">Do not enforce arbitrary complexity rules (e.g., requiring special characters) that encourage predictable patterns; enforce length and entropy instead.</w:t>
      </w:r>
    </w:p>
    <w:p>
      <w:pPr>
        <w:pStyle w:val="Compact"/>
        <w:numPr>
          <w:ilvl w:val="0"/>
          <w:numId w:val="1012"/>
        </w:numPr>
      </w:pPr>
      <w:r>
        <w:t xml:space="preserve">On servers with the necessary PHP extensions, consider enabling Argon2id password hashing via the core</w:t>
      </w:r>
      <w:r>
        <w:t xml:space="preserve"> </w:t>
      </w:r>
      <w:r>
        <w:rPr>
          <w:rStyle w:val="VerbatimChar"/>
        </w:rPr>
        <w:t xml:space="preserve">wp_hash_password</w:t>
      </w:r>
      <w:r>
        <w:t xml:space="preserve"> </w:t>
      </w:r>
      <w:r>
        <w:t xml:space="preserve">filter for stronger resistance to GPU-accelerated brute-force attacks.</w:t>
      </w:r>
    </w:p>
    <w:bookmarkEnd w:id="54"/>
    <w:bookmarkStart w:id="55" w:name="session-management"/>
    <w:p>
      <w:pPr>
        <w:pStyle w:val="Heading3"/>
      </w:pPr>
      <w:r>
        <w:t xml:space="preserve">8.4 Session Management</w:t>
      </w:r>
    </w:p>
    <w:p>
      <w:pPr>
        <w:pStyle w:val="Compact"/>
        <w:numPr>
          <w:ilvl w:val="0"/>
          <w:numId w:val="1013"/>
        </w:numPr>
      </w:pPr>
      <w:r>
        <w:t xml:space="preserve">Enforce short maximum session lifetimes (8–24 hours for privileged users).</w:t>
      </w:r>
    </w:p>
    <w:p>
      <w:pPr>
        <w:pStyle w:val="Compact"/>
        <w:numPr>
          <w:ilvl w:val="0"/>
          <w:numId w:val="1013"/>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3"/>
        </w:numPr>
      </w:pPr>
      <w:r>
        <w:t xml:space="preserve">Automatically terminate idle sessions after a defined inactivity period.</w:t>
      </w:r>
    </w:p>
    <w:p>
      <w:pPr>
        <w:pStyle w:val="Compact"/>
        <w:numPr>
          <w:ilvl w:val="0"/>
          <w:numId w:val="1013"/>
        </w:numPr>
      </w:pPr>
      <w:r>
        <w:t xml:space="preserve">Terminate all active sessions daily at scheduled times, or on role/permission changes.</w:t>
      </w:r>
    </w:p>
    <w:bookmarkEnd w:id="55"/>
    <w:bookmarkStart w:id="56"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4"/>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4"/>
        </w:numPr>
      </w:pPr>
      <w:r>
        <w:t xml:space="preserve">Create custom roles with only the capabilities each user group requires.</w:t>
      </w:r>
    </w:p>
    <w:p>
      <w:pPr>
        <w:pStyle w:val="Compact"/>
        <w:numPr>
          <w:ilvl w:val="0"/>
          <w:numId w:val="1014"/>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4"/>
        </w:numPr>
      </w:pPr>
      <w:r>
        <w:t xml:space="preserve">Restrict administrator capabilities such as file upload, plugin/theme installation, and code editing by default.</w:t>
      </w:r>
    </w:p>
    <w:p>
      <w:pPr>
        <w:pStyle w:val="Compact"/>
        <w:numPr>
          <w:ilvl w:val="0"/>
          <w:numId w:val="1014"/>
        </w:numPr>
      </w:pPr>
      <w:r>
        <w:t xml:space="preserve">Implement IP or device-based allowlists for privileged accounts where feasible.</w:t>
      </w:r>
    </w:p>
    <w:p>
      <w:pPr>
        <w:pStyle w:val="Compact"/>
        <w:numPr>
          <w:ilvl w:val="0"/>
          <w:numId w:val="1014"/>
        </w:numPr>
      </w:pPr>
      <w:r>
        <w:t xml:space="preserve">Adopt trusted device verification for accounts with elevated privileges.</w:t>
      </w:r>
    </w:p>
    <w:p>
      <w:pPr>
        <w:pStyle w:val="Compact"/>
        <w:numPr>
          <w:ilvl w:val="0"/>
          <w:numId w:val="1014"/>
        </w:numPr>
      </w:pPr>
      <w:r>
        <w:t xml:space="preserve">Immediately revoke access for departed employees and terminated third-party contractors.</w:t>
      </w:r>
    </w:p>
    <w:bookmarkEnd w:id="56"/>
    <w:bookmarkEnd w:id="57"/>
    <w:bookmarkStart w:id="61" w:name="security-plugins-and-monitoring"/>
    <w:p>
      <w:pPr>
        <w:pStyle w:val="Heading2"/>
      </w:pPr>
      <w:r>
        <w:t xml:space="preserve">9. Security Plugins and Monitoring</w:t>
      </w:r>
    </w:p>
    <w:bookmarkStart w:id="58" w:name="web-application-firewall"/>
    <w:p>
      <w:pPr>
        <w:pStyle w:val="Heading3"/>
      </w:pPr>
      <w:r>
        <w:t xml:space="preserve">9.1 Web Application Firewall</w:t>
      </w:r>
    </w:p>
    <w:p>
      <w:pPr>
        <w:pStyle w:val="FirstParagraph"/>
      </w:pPr>
      <w:r>
        <w:t xml:space="preserve">Deploy a WordPress-aware WAF that provides:</w:t>
      </w:r>
    </w:p>
    <w:p>
      <w:pPr>
        <w:numPr>
          <w:ilvl w:val="0"/>
          <w:numId w:val="1015"/>
        </w:numPr>
      </w:pPr>
      <w:r>
        <w:t xml:space="preserve">Real-time threat intelligence feeds and virtual patching.</w:t>
      </w:r>
    </w:p>
    <w:p>
      <w:pPr>
        <w:numPr>
          <w:ilvl w:val="0"/>
          <w:numId w:val="1015"/>
        </w:numPr>
      </w:pPr>
      <w:r>
        <w:t xml:space="preserve">Protection against common attack patterns (SQLi, XSS, CSRF, file inclusion).</w:t>
      </w:r>
    </w:p>
    <w:p>
      <w:pPr>
        <w:numPr>
          <w:ilvl w:val="0"/>
          <w:numId w:val="1015"/>
        </w:numPr>
      </w:pPr>
      <w:r>
        <w:t xml:space="preserve">Brute-force protection with intelligent rate limiting.</w:t>
      </w:r>
    </w:p>
    <w:p>
      <w:pPr>
        <w:numPr>
          <w:ilvl w:val="0"/>
          <w:numId w:val="1015"/>
        </w:numPr>
      </w:pPr>
      <w:r>
        <w:t xml:space="preserve">Bot detection and management.</w:t>
      </w:r>
    </w:p>
    <w:p>
      <w:pPr>
        <w:pStyle w:val="FirstParagraph"/>
      </w:pPr>
      <w:r>
        <w:t xml:space="preserve">Options include Patchstack, Wordfence, Sucuri, and Cloudflare (at the network edge).</w:t>
      </w:r>
    </w:p>
    <w:bookmarkEnd w:id="58"/>
    <w:bookmarkStart w:id="59" w:name="audit-logging"/>
    <w:p>
      <w:pPr>
        <w:pStyle w:val="Heading3"/>
      </w:pPr>
      <w:r>
        <w:t xml:space="preserve">9.2 Audit Logging</w:t>
      </w:r>
    </w:p>
    <w:p>
      <w:pPr>
        <w:numPr>
          <w:ilvl w:val="0"/>
          <w:numId w:val="1016"/>
        </w:numPr>
      </w:pPr>
      <w:r>
        <w:t xml:space="preserve">Install a comprehensive audit logging plugin (e.g., WP Activity Log) that records all user activity, including logins, content changes, plugin/theme modifications, and settings changes.</w:t>
      </w:r>
    </w:p>
    <w:p>
      <w:pPr>
        <w:numPr>
          <w:ilvl w:val="0"/>
          <w:numId w:val="1016"/>
        </w:numPr>
      </w:pPr>
      <w:r>
        <w:t xml:space="preserve">Retain logs for a period consistent with your organization’s compliance requirements.</w:t>
      </w:r>
    </w:p>
    <w:p>
      <w:pPr>
        <w:numPr>
          <w:ilvl w:val="0"/>
          <w:numId w:val="1016"/>
        </w:numPr>
      </w:pPr>
      <w:r>
        <w:t xml:space="preserve">Configure log alerts for suspicious activity: failed logins, privilege escalation, file modifications, and new user account creation.</w:t>
      </w:r>
    </w:p>
    <w:p>
      <w:pPr>
        <w:numPr>
          <w:ilvl w:val="0"/>
          <w:numId w:val="1016"/>
        </w:numPr>
      </w:pPr>
      <w:r>
        <w:t xml:space="preserve">Export logs to a centralized SIEM system for correlation with other security events.</w:t>
      </w:r>
    </w:p>
    <w:bookmarkEnd w:id="59"/>
    <w:bookmarkStart w:id="60" w:name="malware-detection"/>
    <w:p>
      <w:pPr>
        <w:pStyle w:val="Heading3"/>
      </w:pPr>
      <w:r>
        <w:t xml:space="preserve">9.3 Malware Detection</w:t>
      </w:r>
    </w:p>
    <w:p>
      <w:pPr>
        <w:numPr>
          <w:ilvl w:val="0"/>
          <w:numId w:val="1017"/>
        </w:numPr>
      </w:pPr>
      <w:r>
        <w:t xml:space="preserve">Deploy server-level malware detection (e.g., Imunify360, Linux Malware Detect, ClamAV).</w:t>
      </w:r>
    </w:p>
    <w:p>
      <w:pPr>
        <w:numPr>
          <w:ilvl w:val="0"/>
          <w:numId w:val="1017"/>
        </w:numPr>
      </w:pPr>
      <w:r>
        <w:t xml:space="preserve">Schedule regular integrity checks comparing core files against known-good checksums.</w:t>
      </w:r>
    </w:p>
    <w:p>
      <w:pPr>
        <w:numPr>
          <w:ilvl w:val="0"/>
          <w:numId w:val="1017"/>
        </w:numPr>
      </w:pPr>
      <w:r>
        <w:t xml:space="preserve">Monitor for unauthorized file changes, especially in plugin and theme directories.</w:t>
      </w:r>
    </w:p>
    <w:bookmarkEnd w:id="60"/>
    <w:bookmarkEnd w:id="61"/>
    <w:bookmarkStart w:id="62"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18"/>
        </w:numPr>
      </w:pPr>
      <w:r>
        <w:t xml:space="preserve">Perform backups at the server level (not relying solely on WordPress plugins).</w:t>
      </w:r>
    </w:p>
    <w:p>
      <w:pPr>
        <w:numPr>
          <w:ilvl w:val="0"/>
          <w:numId w:val="1018"/>
        </w:numPr>
      </w:pPr>
      <w:r>
        <w:t xml:space="preserve">Store backups offsite, in a location inaccessible from the production environment.</w:t>
      </w:r>
    </w:p>
    <w:p>
      <w:pPr>
        <w:numPr>
          <w:ilvl w:val="0"/>
          <w:numId w:val="1018"/>
        </w:numPr>
      </w:pPr>
      <w:r>
        <w:t xml:space="preserve">Encrypt backup data both in transit and at rest.</w:t>
      </w:r>
    </w:p>
    <w:p>
      <w:pPr>
        <w:numPr>
          <w:ilvl w:val="0"/>
          <w:numId w:val="1018"/>
        </w:numPr>
      </w:pPr>
      <w:r>
        <w:t xml:space="preserve">Test backup restoration procedures regularly (at least quarterly).</w:t>
      </w:r>
    </w:p>
    <w:p>
      <w:pPr>
        <w:numPr>
          <w:ilvl w:val="0"/>
          <w:numId w:val="1018"/>
        </w:numPr>
      </w:pPr>
      <w:r>
        <w:t xml:space="preserve">Maintain multiple backup generations with sufficient retention to recover from undetected compromises.</w:t>
      </w:r>
    </w:p>
    <w:p>
      <w:pPr>
        <w:numPr>
          <w:ilvl w:val="0"/>
          <w:numId w:val="1018"/>
        </w:numPr>
      </w:pPr>
      <w:r>
        <w:t xml:space="preserve">Document the recovery procedure and assign clear ownership.</w:t>
      </w:r>
    </w:p>
    <w:bookmarkEnd w:id="62"/>
    <w:bookmarkStart w:id="67"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3"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3"/>
    <w:bookmarkStart w:id="64" w:name="plugin-and-theme-management"/>
    <w:p>
      <w:pPr>
        <w:pStyle w:val="Heading3"/>
      </w:pPr>
      <w:r>
        <w:t xml:space="preserve">11.2 Plugin and Theme Management</w:t>
      </w:r>
    </w:p>
    <w:p>
      <w:pPr>
        <w:pStyle w:val="Compact"/>
        <w:numPr>
          <w:ilvl w:val="0"/>
          <w:numId w:val="1019"/>
        </w:numPr>
      </w:pPr>
      <w:r>
        <w:t xml:space="preserve">Only install plugins and themes from trusted sources (WordPress.org repository, reputable commercial vendors).</w:t>
      </w:r>
    </w:p>
    <w:p>
      <w:pPr>
        <w:pStyle w:val="Compact"/>
        <w:numPr>
          <w:ilvl w:val="0"/>
          <w:numId w:val="1019"/>
        </w:numPr>
      </w:pPr>
      <w:r>
        <w:t xml:space="preserve">Evaluate plugins for active maintenance, update frequency, known vulnerabilities, and code quality before deployment.</w:t>
      </w:r>
    </w:p>
    <w:p>
      <w:pPr>
        <w:pStyle w:val="Compact"/>
        <w:numPr>
          <w:ilvl w:val="0"/>
          <w:numId w:val="1019"/>
        </w:numPr>
      </w:pPr>
      <w:r>
        <w:t xml:space="preserve">Remove all unused plugins and themes from the server (deactivation alone is insufficient).</w:t>
      </w:r>
    </w:p>
    <w:p>
      <w:pPr>
        <w:pStyle w:val="Compact"/>
        <w:numPr>
          <w:ilvl w:val="0"/>
          <w:numId w:val="1019"/>
        </w:numPr>
      </w:pPr>
      <w:r>
        <w:t xml:space="preserve">Monitor plugin vulnerability disclosures and apply patches promptly.</w:t>
      </w:r>
    </w:p>
    <w:bookmarkEnd w:id="64"/>
    <w:bookmarkStart w:id="65" w:name="internal-toolchain-security"/>
    <w:p>
      <w:pPr>
        <w:pStyle w:val="Heading3"/>
      </w:pPr>
      <w:r>
        <w:t xml:space="preserve">11.3 Internal Toolchain Security</w:t>
      </w:r>
    </w:p>
    <w:p>
      <w:pPr>
        <w:pStyle w:val="Compact"/>
        <w:numPr>
          <w:ilvl w:val="0"/>
          <w:numId w:val="1020"/>
        </w:numPr>
      </w:pPr>
      <w:r>
        <w:t xml:space="preserve">Verify the integrity of build and deployment tools.</w:t>
      </w:r>
    </w:p>
    <w:p>
      <w:pPr>
        <w:pStyle w:val="Compact"/>
        <w:numPr>
          <w:ilvl w:val="0"/>
          <w:numId w:val="1020"/>
        </w:numPr>
      </w:pPr>
      <w:r>
        <w:t xml:space="preserve">Use version-controlled, auditable deployment pipelines.</w:t>
      </w:r>
    </w:p>
    <w:p>
      <w:pPr>
        <w:pStyle w:val="Compact"/>
        <w:numPr>
          <w:ilvl w:val="0"/>
          <w:numId w:val="1020"/>
        </w:numPr>
      </w:pPr>
      <w:r>
        <w:t xml:space="preserve">Pin dependency versions and verify checksums for all external packages.</w:t>
      </w:r>
    </w:p>
    <w:p>
      <w:pPr>
        <w:pStyle w:val="Compact"/>
        <w:numPr>
          <w:ilvl w:val="0"/>
          <w:numId w:val="1020"/>
        </w:numPr>
      </w:pPr>
      <w:r>
        <w:t xml:space="preserve">Conduct code reviews for custom plugins and theme code before deployment.</w:t>
      </w:r>
    </w:p>
    <w:bookmarkEnd w:id="65"/>
    <w:bookmarkStart w:id="66"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6"/>
    <w:bookmarkEnd w:id="67"/>
    <w:bookmarkStart w:id="73"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68" w:name="employee-and-third-party-access-policies"/>
    <w:p>
      <w:pPr>
        <w:pStyle w:val="Heading3"/>
      </w:pPr>
      <w:r>
        <w:t xml:space="preserve">12.1 Employee and Third-Party Access Policies</w:t>
      </w:r>
    </w:p>
    <w:p>
      <w:pPr>
        <w:numPr>
          <w:ilvl w:val="0"/>
          <w:numId w:val="1021"/>
        </w:numPr>
      </w:pPr>
      <w:r>
        <w:t xml:space="preserve">Require 2FA and VPN for all remote access to WordPress admin interfaces.</w:t>
      </w:r>
    </w:p>
    <w:p>
      <w:pPr>
        <w:numPr>
          <w:ilvl w:val="0"/>
          <w:numId w:val="1021"/>
        </w:numPr>
      </w:pPr>
      <w:r>
        <w:t xml:space="preserve">Require timely OS and software updates on all devices used to access WordPress.</w:t>
      </w:r>
    </w:p>
    <w:p>
      <w:pPr>
        <w:numPr>
          <w:ilvl w:val="0"/>
          <w:numId w:val="1021"/>
        </w:numPr>
      </w:pPr>
      <w:r>
        <w:t xml:space="preserve">Require email scanning for malware and endpoint protection software.</w:t>
      </w:r>
    </w:p>
    <w:p>
      <w:pPr>
        <w:numPr>
          <w:ilvl w:val="0"/>
          <w:numId w:val="1021"/>
        </w:numPr>
      </w:pPr>
      <w:r>
        <w:t xml:space="preserve">Address phishing and social engineering in employee onboarding and recurring training.</w:t>
      </w:r>
    </w:p>
    <w:p>
      <w:pPr>
        <w:numPr>
          <w:ilvl w:val="0"/>
          <w:numId w:val="1021"/>
        </w:numPr>
      </w:pPr>
      <w:r>
        <w:t xml:space="preserve">Define and enforce a BYOD policy or restrict administrative access to managed devices.</w:t>
      </w:r>
    </w:p>
    <w:p>
      <w:pPr>
        <w:numPr>
          <w:ilvl w:val="0"/>
          <w:numId w:val="1021"/>
        </w:numPr>
      </w:pPr>
      <w:r>
        <w:t xml:space="preserve">Terminate access promptly when employees or contractors depart.</w:t>
      </w:r>
    </w:p>
    <w:bookmarkEnd w:id="68"/>
    <w:bookmarkStart w:id="69" w:name="security-policies-and-governance"/>
    <w:p>
      <w:pPr>
        <w:pStyle w:val="Heading3"/>
      </w:pPr>
      <w:r>
        <w:t xml:space="preserve">12.2 Security Policies and Governance</w:t>
      </w:r>
    </w:p>
    <w:p>
      <w:pPr>
        <w:numPr>
          <w:ilvl w:val="0"/>
          <w:numId w:val="1022"/>
        </w:numPr>
      </w:pPr>
      <w:r>
        <w:t xml:space="preserve">Define and enforce a written user security policy covering password standards, session management, and acceptable use.</w:t>
      </w:r>
    </w:p>
    <w:p>
      <w:pPr>
        <w:numPr>
          <w:ilvl w:val="0"/>
          <w:numId w:val="1022"/>
        </w:numPr>
      </w:pPr>
      <w:r>
        <w:t xml:space="preserve">Adopt a Zero-Trust model: continuously verify active users regardless of network location.</w:t>
      </w:r>
    </w:p>
    <w:p>
      <w:pPr>
        <w:numPr>
          <w:ilvl w:val="0"/>
          <w:numId w:val="1022"/>
        </w:numPr>
      </w:pPr>
      <w:r>
        <w:t xml:space="preserve">Establish software version management and update policies with defined SLAs.</w:t>
      </w:r>
    </w:p>
    <w:p>
      <w:pPr>
        <w:numPr>
          <w:ilvl w:val="0"/>
          <w:numId w:val="1022"/>
        </w:numPr>
      </w:pPr>
      <w:r>
        <w:t xml:space="preserve">Define security metrics and conduct regular audits (internal and external).</w:t>
      </w:r>
    </w:p>
    <w:p>
      <w:pPr>
        <w:numPr>
          <w:ilvl w:val="0"/>
          <w:numId w:val="1022"/>
        </w:numPr>
      </w:pPr>
      <w:r>
        <w:t xml:space="preserve">Create, document, and practice an incident response plan with assigned roles (see Section 12.3).</w:t>
      </w:r>
    </w:p>
    <w:p>
      <w:pPr>
        <w:numPr>
          <w:ilvl w:val="0"/>
          <w:numId w:val="1022"/>
        </w:numPr>
      </w:pPr>
      <w:r>
        <w:t xml:space="preserve">Maintain a disaster recovery plan integrated with the business continuity plan.</w:t>
      </w:r>
    </w:p>
    <w:p>
      <w:pPr>
        <w:numPr>
          <w:ilvl w:val="0"/>
          <w:numId w:val="1022"/>
        </w:numPr>
      </w:pPr>
      <w:r>
        <w:t xml:space="preserve">Require written SLAs with hosting providers and third-party data handlers that address security, privacy, and compliance.</w:t>
      </w:r>
    </w:p>
    <w:p>
      <w:pPr>
        <w:numPr>
          <w:ilvl w:val="0"/>
          <w:numId w:val="1022"/>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69"/>
    <w:bookmarkStart w:id="70"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3"/>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3"/>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3"/>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3"/>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3"/>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3"/>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0"/>
    <w:bookmarkStart w:id="71"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4"/>
        </w:numPr>
      </w:pPr>
      <w:r>
        <w:t xml:space="preserve">Train teams with simulated breach scenarios and tabletop exercises.</w:t>
      </w:r>
    </w:p>
    <w:p>
      <w:pPr>
        <w:numPr>
          <w:ilvl w:val="0"/>
          <w:numId w:val="1024"/>
        </w:numPr>
      </w:pPr>
      <w:r>
        <w:t xml:space="preserve">Make security practices habitual, not just policy documents.</w:t>
      </w:r>
    </w:p>
    <w:p>
      <w:pPr>
        <w:numPr>
          <w:ilvl w:val="0"/>
          <w:numId w:val="1024"/>
        </w:numPr>
      </w:pPr>
      <w:r>
        <w:t xml:space="preserve">Ensure norms, values, and assumptions across the organization align with security goals.</w:t>
      </w:r>
    </w:p>
    <w:p>
      <w:pPr>
        <w:numPr>
          <w:ilvl w:val="0"/>
          <w:numId w:val="1024"/>
        </w:numPr>
      </w:pPr>
      <w:r>
        <w:t xml:space="preserve">Empower all team members to identify and report potential compromise.</w:t>
      </w:r>
    </w:p>
    <w:bookmarkEnd w:id="71"/>
    <w:bookmarkStart w:id="72"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5"/>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5"/>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5"/>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5"/>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5"/>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5"/>
        </w:numPr>
      </w:pPr>
      <w:r>
        <w:rPr>
          <w:b/>
          <w:bCs/>
        </w:rPr>
        <w:t xml:space="preserve">Retention Policies:</w:t>
      </w:r>
      <w:r>
        <w:t xml:space="preserve"> </w:t>
      </w:r>
      <w:r>
        <w:t xml:space="preserve">Define and enforce data retention schedules. Automatically purge data that is no longer needed for its stated purpose.</w:t>
      </w:r>
    </w:p>
    <w:bookmarkEnd w:id="72"/>
    <w:bookmarkEnd w:id="73"/>
    <w:bookmarkStart w:id="74"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6"/>
        </w:numPr>
      </w:pPr>
      <w:r>
        <w:t xml:space="preserve">Per-site process isolation in containerized or chroot environments.</w:t>
      </w:r>
    </w:p>
    <w:p>
      <w:pPr>
        <w:pStyle w:val="Compact"/>
        <w:numPr>
          <w:ilvl w:val="0"/>
          <w:numId w:val="1026"/>
        </w:numPr>
      </w:pPr>
      <w:r>
        <w:t xml:space="preserve">Managed, automated patching for the full server stack (OS, PHP, database, web server).</w:t>
      </w:r>
    </w:p>
    <w:p>
      <w:pPr>
        <w:pStyle w:val="Compact"/>
        <w:numPr>
          <w:ilvl w:val="0"/>
          <w:numId w:val="1026"/>
        </w:numPr>
      </w:pPr>
      <w:r>
        <w:t xml:space="preserve">Multiple upstream security layers (network-level DDoS mitigation, WAF, intrusion detection).</w:t>
      </w:r>
    </w:p>
    <w:p>
      <w:pPr>
        <w:pStyle w:val="Compact"/>
        <w:numPr>
          <w:ilvl w:val="0"/>
          <w:numId w:val="1026"/>
        </w:numPr>
      </w:pPr>
      <w:r>
        <w:t xml:space="preserve">Automated, offsite backups with tested recovery procedures.</w:t>
      </w:r>
    </w:p>
    <w:p>
      <w:pPr>
        <w:pStyle w:val="Compact"/>
        <w:numPr>
          <w:ilvl w:val="0"/>
          <w:numId w:val="1026"/>
        </w:numPr>
      </w:pPr>
      <w:r>
        <w:t xml:space="preserve">Relevant certifications: SOC 2, PCI DSS, GDPR-aligned data processing agreements, and for government/education, FedRAMP or equivalent.</w:t>
      </w:r>
    </w:p>
    <w:p>
      <w:pPr>
        <w:pStyle w:val="Compact"/>
        <w:numPr>
          <w:ilvl w:val="0"/>
          <w:numId w:val="1026"/>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4"/>
    <w:bookmarkStart w:id="78"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5"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7"/>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7"/>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5"/>
    <w:bookmarkStart w:id="76"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6"/>
    <w:bookmarkStart w:id="77" w:name="securing-ai-integrations-in-wordpress"/>
    <w:p>
      <w:pPr>
        <w:pStyle w:val="Heading3"/>
      </w:pPr>
      <w:r>
        <w:t xml:space="preserve">14.3 Securing AI Integrations in WordPress</w:t>
      </w:r>
    </w:p>
    <w:p>
      <w:pPr>
        <w:pStyle w:val="Compact"/>
        <w:numPr>
          <w:ilvl w:val="0"/>
          <w:numId w:val="1028"/>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28"/>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28"/>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28"/>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28"/>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28"/>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77"/>
    <w:bookmarkEnd w:id="78"/>
    <w:bookmarkStart w:id="98" w:name="additional-resources"/>
    <w:p>
      <w:pPr>
        <w:pStyle w:val="Heading2"/>
      </w:pPr>
      <w:r>
        <w:t xml:space="preserve">15. Additional Resources</w:t>
      </w:r>
    </w:p>
    <w:bookmarkStart w:id="83" w:name="wordpress-security-documentation"/>
    <w:p>
      <w:pPr>
        <w:pStyle w:val="Heading3"/>
      </w:pPr>
      <w:r>
        <w:t xml:space="preserve">15.1 WordPress Security Documentation</w:t>
      </w:r>
    </w:p>
    <w:p>
      <w:pPr>
        <w:pStyle w:val="Compact"/>
        <w:numPr>
          <w:ilvl w:val="0"/>
          <w:numId w:val="1029"/>
        </w:numPr>
      </w:pPr>
      <w:hyperlink r:id="rId79">
        <w:r>
          <w:rPr>
            <w:rStyle w:val="Hyperlink"/>
          </w:rPr>
          <w:t xml:space="preserve">Hardening WordPress — Advanced Administration Handbook</w:t>
        </w:r>
      </w:hyperlink>
    </w:p>
    <w:p>
      <w:pPr>
        <w:pStyle w:val="Compact"/>
        <w:numPr>
          <w:ilvl w:val="0"/>
          <w:numId w:val="1029"/>
        </w:numPr>
      </w:pPr>
      <w:hyperlink r:id="rId80">
        <w:r>
          <w:rPr>
            <w:rStyle w:val="Hyperlink"/>
          </w:rPr>
          <w:t xml:space="preserve">WordPress Security White Paper (developer.wordpress.org)</w:t>
        </w:r>
      </w:hyperlink>
    </w:p>
    <w:p>
      <w:pPr>
        <w:pStyle w:val="Compact"/>
        <w:numPr>
          <w:ilvl w:val="0"/>
          <w:numId w:val="1029"/>
        </w:numPr>
      </w:pPr>
      <w:hyperlink r:id="rId81">
        <w:r>
          <w:rPr>
            <w:rStyle w:val="Hyperlink"/>
          </w:rPr>
          <w:t xml:space="preserve">Brute Force Attacks (developer.wordpress.org)</w:t>
        </w:r>
      </w:hyperlink>
    </w:p>
    <w:p>
      <w:pPr>
        <w:pStyle w:val="Compact"/>
        <w:numPr>
          <w:ilvl w:val="0"/>
          <w:numId w:val="1029"/>
        </w:numPr>
      </w:pPr>
      <w:hyperlink r:id="rId82">
        <w:r>
          <w:rPr>
            <w:rStyle w:val="Hyperlink"/>
          </w:rPr>
          <w:t xml:space="preserve">WordPress VIP Security Best Practices</w:t>
        </w:r>
      </w:hyperlink>
    </w:p>
    <w:bookmarkEnd w:id="83"/>
    <w:bookmarkStart w:id="89" w:name="threat-intelligence-and-industry-reports"/>
    <w:p>
      <w:pPr>
        <w:pStyle w:val="Heading3"/>
      </w:pPr>
      <w:r>
        <w:t xml:space="preserve">15.2 Threat Intelligence and Industry Reports</w:t>
      </w:r>
    </w:p>
    <w:p>
      <w:pPr>
        <w:pStyle w:val="Compact"/>
        <w:numPr>
          <w:ilvl w:val="0"/>
          <w:numId w:val="1030"/>
        </w:numPr>
      </w:pPr>
      <w:hyperlink r:id="rId84">
        <w:r>
          <w:rPr>
            <w:rStyle w:val="Hyperlink"/>
          </w:rPr>
          <w:t xml:space="preserve">OWASP Top 10:2025 Web Application Security Risks</w:t>
        </w:r>
      </w:hyperlink>
    </w:p>
    <w:p>
      <w:pPr>
        <w:pStyle w:val="Compact"/>
        <w:numPr>
          <w:ilvl w:val="0"/>
          <w:numId w:val="1030"/>
        </w:numPr>
      </w:pPr>
      <w:hyperlink r:id="rId85">
        <w:r>
          <w:rPr>
            <w:rStyle w:val="Hyperlink"/>
          </w:rPr>
          <w:t xml:space="preserve">Patchstack State of WordPress Security (annual whitepaper)</w:t>
        </w:r>
      </w:hyperlink>
    </w:p>
    <w:p>
      <w:pPr>
        <w:pStyle w:val="Compact"/>
        <w:numPr>
          <w:ilvl w:val="0"/>
          <w:numId w:val="1030"/>
        </w:numPr>
      </w:pPr>
      <w:hyperlink r:id="rId86">
        <w:r>
          <w:rPr>
            <w:rStyle w:val="Hyperlink"/>
          </w:rPr>
          <w:t xml:space="preserve">Verizon Data Breach Investigations Report</w:t>
        </w:r>
      </w:hyperlink>
    </w:p>
    <w:p>
      <w:pPr>
        <w:pStyle w:val="Compact"/>
        <w:numPr>
          <w:ilvl w:val="0"/>
          <w:numId w:val="1030"/>
        </w:numPr>
      </w:pPr>
      <w:hyperlink r:id="rId87">
        <w:r>
          <w:rPr>
            <w:rStyle w:val="Hyperlink"/>
          </w:rPr>
          <w:t xml:space="preserve">IBM X-Force Threat Intelligence Index</w:t>
        </w:r>
      </w:hyperlink>
    </w:p>
    <w:p>
      <w:pPr>
        <w:pStyle w:val="Compact"/>
        <w:numPr>
          <w:ilvl w:val="0"/>
          <w:numId w:val="1030"/>
        </w:numPr>
      </w:pPr>
      <w:hyperlink r:id="rId88">
        <w:r>
          <w:rPr>
            <w:rStyle w:val="Hyperlink"/>
          </w:rPr>
          <w:t xml:space="preserve">IBM Cost of a Data Breach Report</w:t>
        </w:r>
      </w:hyperlink>
    </w:p>
    <w:bookmarkEnd w:id="89"/>
    <w:bookmarkStart w:id="94" w:name="standards-and-frameworks"/>
    <w:p>
      <w:pPr>
        <w:pStyle w:val="Heading3"/>
      </w:pPr>
      <w:r>
        <w:t xml:space="preserve">15.3 Standards and Frameworks</w:t>
      </w:r>
    </w:p>
    <w:p>
      <w:pPr>
        <w:pStyle w:val="Compact"/>
        <w:numPr>
          <w:ilvl w:val="0"/>
          <w:numId w:val="1031"/>
        </w:numPr>
      </w:pPr>
      <w:hyperlink r:id="rId90">
        <w:r>
          <w:rPr>
            <w:rStyle w:val="Hyperlink"/>
          </w:rPr>
          <w:t xml:space="preserve">NIST SP 800-63B: Digital Identity Guidelines — Authentication</w:t>
        </w:r>
      </w:hyperlink>
    </w:p>
    <w:p>
      <w:pPr>
        <w:pStyle w:val="Compact"/>
        <w:numPr>
          <w:ilvl w:val="0"/>
          <w:numId w:val="1031"/>
        </w:numPr>
      </w:pPr>
      <w:hyperlink r:id="rId91">
        <w:r>
          <w:rPr>
            <w:rStyle w:val="Hyperlink"/>
          </w:rPr>
          <w:t xml:space="preserve">NIST SP 800-61: Computer Security Incident Handling Guide</w:t>
        </w:r>
      </w:hyperlink>
    </w:p>
    <w:p>
      <w:pPr>
        <w:pStyle w:val="Compact"/>
        <w:numPr>
          <w:ilvl w:val="0"/>
          <w:numId w:val="1031"/>
        </w:numPr>
      </w:pPr>
      <w:hyperlink r:id="rId92">
        <w:r>
          <w:rPr>
            <w:rStyle w:val="Hyperlink"/>
          </w:rPr>
          <w:t xml:space="preserve">CIS Benchmarks</w:t>
        </w:r>
      </w:hyperlink>
    </w:p>
    <w:p>
      <w:pPr>
        <w:pStyle w:val="Compact"/>
        <w:numPr>
          <w:ilvl w:val="0"/>
          <w:numId w:val="1031"/>
        </w:numPr>
      </w:pPr>
      <w:hyperlink r:id="rId93">
        <w:r>
          <w:rPr>
            <w:rStyle w:val="Hyperlink"/>
          </w:rPr>
          <w:t xml:space="preserve">ISO/IEC 27000: Information Security Management</w:t>
        </w:r>
      </w:hyperlink>
    </w:p>
    <w:bookmarkEnd w:id="94"/>
    <w:bookmarkStart w:id="97" w:name="X00fc8c82620e041623f6fee31e62d29d538d53d"/>
    <w:p>
      <w:pPr>
        <w:pStyle w:val="Heading3"/>
      </w:pPr>
      <w:r>
        <w:t xml:space="preserve">15.4 Security Culture and Organizational Practices</w:t>
      </w:r>
    </w:p>
    <w:p>
      <w:pPr>
        <w:pStyle w:val="Compact"/>
        <w:numPr>
          <w:ilvl w:val="0"/>
          <w:numId w:val="1032"/>
        </w:numPr>
      </w:pPr>
      <w:hyperlink r:id="rId95">
        <w:r>
          <w:rPr>
            <w:rStyle w:val="Hyperlink"/>
          </w:rPr>
          <w:t xml:space="preserve">KnowBe4: Security Culture</w:t>
        </w:r>
      </w:hyperlink>
    </w:p>
    <w:p>
      <w:pPr>
        <w:pStyle w:val="Compact"/>
        <w:numPr>
          <w:ilvl w:val="0"/>
          <w:numId w:val="1032"/>
        </w:numPr>
      </w:pPr>
      <w:hyperlink r:id="rId96">
        <w:r>
          <w:rPr>
            <w:rStyle w:val="Hyperlink"/>
          </w:rPr>
          <w:t xml:space="preserve">NIST: Users Are Not Stupid — Six Cyber Security Pitfalls Overturned</w:t>
        </w:r>
      </w:hyperlink>
    </w:p>
    <w:bookmarkEnd w:id="97"/>
    <w:bookmarkEnd w:id="98"/>
    <w:bookmarkStart w:id="101" w:name="related-documents"/>
    <w:p>
      <w:pPr>
        <w:pStyle w:val="Heading2"/>
      </w:pPr>
      <w:r>
        <w:t xml:space="preserve">Related Documents</w:t>
      </w:r>
    </w:p>
    <w:p>
      <w:pPr>
        <w:pStyle w:val="Compact"/>
        <w:numPr>
          <w:ilvl w:val="0"/>
          <w:numId w:val="1033"/>
        </w:numPr>
      </w:pPr>
      <w:hyperlink r:id="rId99">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3"/>
        </w:numPr>
      </w:pPr>
      <w:hyperlink r:id="rId100">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80">
        <w:r>
          <w:rPr>
            <w:rStyle w:val="Hyperlink"/>
          </w:rPr>
          <w:t xml:space="preserve">developer.wordpress.org</w:t>
        </w:r>
      </w:hyperlink>
      <w:r>
        <w:t xml:space="preserve">.</w:t>
      </w:r>
    </w:p>
    <w:bookmarkEnd w:id="101"/>
    <w:bookmarkStart w:id="103" w:name="license-and-attribution"/>
    <w:p>
      <w:pPr>
        <w:pStyle w:val="Heading2"/>
      </w:pPr>
      <w:r>
        <w:t xml:space="preserve">License and Attribution</w:t>
      </w:r>
    </w:p>
    <w:p>
      <w:pPr>
        <w:pStyle w:val="FirstParagraph"/>
      </w:pPr>
      <w:r>
        <w:t xml:space="preserve">This document is licensed under the</w:t>
      </w:r>
      <w:r>
        <w:t xml:space="preserve"> </w:t>
      </w:r>
      <w:hyperlink r:id="rId10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1" Target="https://developer.wordpress.org/advanced-administration/security/brute-force/" TargetMode="External" /><Relationship Type="http://schemas.openxmlformats.org/officeDocument/2006/relationships/hyperlink" Id="rId79" Target="https://developer.wordpress.org/advanced-administration/security/hardening/" TargetMode="External" /><Relationship Type="http://schemas.openxmlformats.org/officeDocument/2006/relationships/hyperlink" Id="rId80" Target="https://developer.wordpress.org/apis/security/" TargetMode="External" /><Relationship Type="http://schemas.openxmlformats.org/officeDocument/2006/relationships/hyperlink" Id="rId82"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84"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85" Target="https://patchstack.com/whitepaper/" TargetMode="External" /><Relationship Type="http://schemas.openxmlformats.org/officeDocument/2006/relationships/hyperlink" Id="rId22"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1" Target="https://developer.wordpress.org/advanced-administration/security/brute-force/" TargetMode="External" /><Relationship Type="http://schemas.openxmlformats.org/officeDocument/2006/relationships/hyperlink" Id="rId79" Target="https://developer.wordpress.org/advanced-administration/security/hardening/" TargetMode="External" /><Relationship Type="http://schemas.openxmlformats.org/officeDocument/2006/relationships/hyperlink" Id="rId80" Target="https://developer.wordpress.org/apis/security/" TargetMode="External" /><Relationship Type="http://schemas.openxmlformats.org/officeDocument/2006/relationships/hyperlink" Id="rId82"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84"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85" Target="https://patchstack.com/whitepaper/" TargetMode="External" /><Relationship Type="http://schemas.openxmlformats.org/officeDocument/2006/relationships/hyperlink" Id="rId22"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2026-03-03T01:01:29Z</dcterms:created>
  <dcterms:modified xsi:type="dcterms:W3CDTF">2026-03-03T01:01:29Z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Enterprise Best Practices and Threat Mitigation</vt:lpwstr>
  </property>
  <property fmtid="{D5CDD505-2E9C-101B-9397-08002B2CF9AE}" pid="4" name="version">
    <vt:lpwstr>1.0</vt:lpwstr>
  </property>
</Properties>
</file>