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WordPress core behavior through WordPress 7.1, released on August 19, 2026 (current release as of October 7, 2026: 7.1.3). WordPress 7.2 is scheduled for December 8, 2026 and is not covered.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1"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(for example, WordPress 7.0 on May 20, 2026 and 7.1 on August 19, 2026, with 7.2 scheduled for December 8, 2026) ship new features on a three-to-four-month cycle through a structured process of scoping, development, beta testing, and release candidates. Minor releases (for example, 6.9.x or 7.0.x) contain maintenance and security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9"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Only the most recent WordPress release is officially supported; the security team backports fixes to some older branches as a courtesy (as of October 2026, back to 4.7), and that floor moves — security updates for 3.7 through 4.0 ended on December 1, 2022.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 The pace of security releases shows why: WordPress</w:t>
      </w:r>
      <w:r>
        <w:t xml:space="preserve"> </w:t>
      </w:r>
      <w:hyperlink r:id="rId27">
        <w:r>
          <w:rPr>
            <w:rStyle w:val="Hyperlink"/>
          </w:rPr>
          <w:t xml:space="preserve">7.1.1</w:t>
        </w:r>
      </w:hyperlink>
      <w:r>
        <w:t xml:space="preserve"> </w:t>
      </w:r>
      <w:r>
        <w:t xml:space="preserve">(September 17, 2026) and</w:t>
      </w:r>
      <w:r>
        <w:t xml:space="preserve"> </w:t>
      </w:r>
      <w:hyperlink r:id="rId28">
        <w:r>
          <w:rPr>
            <w:rStyle w:val="Hyperlink"/>
          </w:rPr>
          <w:t xml:space="preserve">7.1.3</w:t>
        </w:r>
      </w:hyperlink>
      <w:r>
        <w:t xml:space="preserve"> </w:t>
      </w:r>
      <w:r>
        <w:t xml:space="preserve">(October 6, 2026) together fixed 18 security issues within seven weeks of the 7.1 release, including a stored cross-site scripting issue reachable by unauthenticated visitors.</w:t>
      </w:r>
    </w:p>
    <w:bookmarkEnd w:id="29"/>
    <w:bookmarkStart w:id="30"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30"/>
    <w:bookmarkEnd w:id="31"/>
    <w:bookmarkStart w:id="42"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2"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2"/>
    <w:bookmarkStart w:id="33"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3"/>
    <w:bookmarkStart w:id="34"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4"/>
    <w:bookmarkStart w:id="35"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On supported WordPress 7.0 environments (PHP 7.4+), sites with Argon2 support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5"/>
    <w:bookmarkStart w:id="36"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6"/>
    <w:bookmarkStart w:id="37"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7"/>
    <w:bookmarkStart w:id="38"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are individually named and revocable credentials that are not valid for Dashboard login. They are not permission-scoped: each application password carries the full capabilities of the user who owns it. They also bypass 2FA and should be managed carefully (see Section 8). WordPress is compatible with two-factor authentication plugins.</w:t>
      </w:r>
    </w:p>
    <w:bookmarkEnd w:id="38"/>
    <w:bookmarkStart w:id="39"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9"/>
    <w:bookmarkStart w:id="40"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40"/>
    <w:bookmarkStart w:id="41"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1"/>
    <w:bookmarkEnd w:id="42"/>
    <w:bookmarkStart w:id="45"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 range of older branches as a courtesy, not a commitment (as of October 2026, back to WordPress 4.7; updates for 3.7 through 4.0</w:t>
      </w:r>
      <w:r>
        <w:t xml:space="preserve"> </w:t>
      </w:r>
      <w:hyperlink r:id="rId43">
        <w:r>
          <w:rPr>
            <w:rStyle w:val="Hyperlink"/>
          </w:rPr>
          <w:t xml:space="preserve">ended on December 1, 2022</w:t>
        </w:r>
      </w:hyperlink>
      <w:r>
        <w:t xml:space="preserve">). An older branch that still receives backports is not a supported version.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4"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4"/>
    <w:bookmarkEnd w:id="45"/>
    <w:bookmarkStart w:id="52"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7"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6">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 From WordPress 7.1, the block editor’s client-side media processing runs in a Web Worker loaded from a</w:t>
      </w:r>
      <w:r>
        <w:t xml:space="preserve"> </w:t>
      </w:r>
      <w:r>
        <w:rPr>
          <w:rStyle w:val="VerbatimChar"/>
        </w:rPr>
        <w:t xml:space="preserve">blob:</w:t>
      </w:r>
      <w:r>
        <w:t xml:space="preserve"> </w:t>
      </w:r>
      <w:r>
        <w:t xml:space="preserve">URL; a policy without</w:t>
      </w:r>
      <w:r>
        <w:t xml:space="preserve"> </w:t>
      </w:r>
      <w:r>
        <w:rPr>
          <w:rStyle w:val="VerbatimChar"/>
        </w:rPr>
        <w:t xml:space="preserve">worker-src 'self' blob:</w:t>
      </w:r>
      <w:r>
        <w:t xml:space="preserve"> </w:t>
      </w:r>
      <w:r>
        <w:t xml:space="preserve">blocks it and WordPress falls back to server-side processing.</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7"/>
    <w:bookmarkStart w:id="48"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8"/>
    <w:bookmarkStart w:id="49"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The first three are baseline (Benchmark Level 1) controls;</w:t>
      </w:r>
      <w:r>
        <w:t xml:space="preserve"> </w:t>
      </w:r>
      <w:r>
        <w:rPr>
          <w:rStyle w:val="VerbatimChar"/>
        </w:rPr>
        <w:t xml:space="preserve">open_basedir</w:t>
      </w:r>
      <w:r>
        <w:t xml:space="preserve"> </w:t>
      </w:r>
      <w:r>
        <w:t xml:space="preserve">is an optional, environment-specific (Level 2) control and, per the PHP manual, is not a complete security boundary.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9"/>
    <w:bookmarkStart w:id="51"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50">
        <w:r>
          <w:rPr>
            <w:rStyle w:val="Hyperlink"/>
          </w:rPr>
          <w:t xml:space="preserve">WordPress Security Style Guide</w:t>
        </w:r>
      </w:hyperlink>
      <w:r>
        <w:t xml:space="preserve"> </w:t>
      </w:r>
      <w:r>
        <w:t xml:space="preserve">§3.7 explains how to communicate environment-specific recommendations. The</w:t>
      </w:r>
      <w:r>
        <w:t xml:space="preserve"> </w:t>
      </w:r>
      <w:hyperlink r:id="rId46">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51"/>
    <w:bookmarkEnd w:id="52"/>
    <w:bookmarkStart w:id="59" w:name="wordpress-application-hardening"/>
    <w:p>
      <w:pPr>
        <w:pStyle w:val="Heading2"/>
      </w:pPr>
      <w:r>
        <w:t xml:space="preserve">7. WordPress Application Hardening</w:t>
      </w:r>
    </w:p>
    <w:bookmarkStart w:id="53"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3"/>
    <w:bookmarkStart w:id="55"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It is a second password-authentication surface, and its pingback methods have been abused for DDoS reflection. (The</w:t>
      </w:r>
      <w:r>
        <w:t xml:space="preserve"> </w:t>
      </w:r>
      <w:r>
        <w:rPr>
          <w:rStyle w:val="VerbatimChar"/>
        </w:rPr>
        <w:t xml:space="preserve">system.multicall</w:t>
      </w:r>
      <w:r>
        <w:t xml:space="preserve"> </w:t>
      </w:r>
      <w:r>
        <w:t xml:space="preserve">brute-force amplification technique is historical: since WordPress 4.4, core stops evaluating credentials for the rest of a request after the first failed login.)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this is the only complete block. The</w:t>
      </w:r>
      <w:r>
        <w:t xml:space="preserve"> </w:t>
      </w:r>
      <w:r>
        <w:rPr>
          <w:rStyle w:val="VerbatimChar"/>
        </w:rPr>
        <w:t xml:space="preserve">xmlrpc_enabled</w:t>
      </w:r>
      <w:r>
        <w:t xml:space="preserve"> </w:t>
      </w:r>
      <w:r>
        <w:t xml:space="preserve">filter (</w:t>
      </w:r>
      <w:r>
        <w:rPr>
          <w:rStyle w:val="VerbatimChar"/>
        </w:rPr>
        <w:t xml:space="preserve">add_filter( 'xmlrpc_enabled', '__return_false' )</w:t>
      </w:r>
      <w:r>
        <w:t xml:space="preserve">) is a partial measure:</w:t>
      </w:r>
      <w:r>
        <w:t xml:space="preserve"> </w:t>
      </w:r>
      <w:hyperlink r:id="rId54">
        <w:r>
          <w:rPr>
            <w:rStyle w:val="Hyperlink"/>
          </w:rPr>
          <w:t xml:space="preserve">it turns off only the methods that require authentication</w:t>
        </w:r>
      </w:hyperlink>
      <w:r>
        <w:t xml:space="preserve"> </w:t>
      </w:r>
      <w:r>
        <w:t xml:space="preserve">and leaves pingbacks and other unauthenticated methods available.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5"/>
    <w:bookmarkStart w:id="56"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6">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6"/>
    <w:bookmarkStart w:id="57"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7"/>
    <w:bookmarkStart w:id="58"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(individually revocable credentials that do not grant Dashboard login access but carry the owning user’s full capabilities — issue them from a dedicated least-privilege integration account, not an administrator’s),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8"/>
    <w:bookmarkEnd w:id="59"/>
    <w:bookmarkStart w:id="67"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Compromised user credentials and hijacked sessions are among the most common ways WordPress sites are breached.</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are prominent and growing attack categories across web platforms.</w:t>
      </w:r>
    </w:p>
    <w:bookmarkStart w:id="61"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 The plugin provides enrollment and the login challenge only; it has no built-in setting that requires 2FA for a role, so mandatory 2FA needs a separate enforcement control (for example, MFA enforced at the identity provider).</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Protect 2FA secrets at rest, and state which layer does it. The</w:t>
      </w:r>
      <w:r>
        <w:t xml:space="preserve"> </w:t>
      </w:r>
      <w:r>
        <w:rPr>
          <w:rStyle w:val="VerbatimChar"/>
        </w:rPr>
        <w:t xml:space="preserve">two-factor</w:t>
      </w:r>
      <w:r>
        <w:t xml:space="preserve"> </w:t>
      </w:r>
      <w:r>
        <w:t xml:space="preserve">plugin stores TOTP secrets unencrypted in user meta, so anyone who can read the database or a database backup can read them. Volume or database encryption protects against stolen disks, not against SQL injection or an exposed backup. Where the threat model requires field-level encryption, use an approved implementation that provides it; otherwise treat database access and backups as holding MFA secrets and protect them accordingly.</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60">
        <w:r>
          <w:rPr>
            <w:rStyle w:val="Hyperlink"/>
          </w:rPr>
          <w:t xml:space="preserve">WordPress Operations Runbook</w:t>
        </w:r>
      </w:hyperlink>
      <w:r>
        <w:t xml:space="preserve"> </w:t>
      </w:r>
      <w:r>
        <w:t xml:space="preserve">§5.5.</w:t>
      </w:r>
    </w:p>
    <w:bookmarkEnd w:id="61"/>
    <w:bookmarkStart w:id="63"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50">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62">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63"/>
    <w:bookmarkStart w:id="64"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4"/>
    <w:bookmarkStart w:id="65"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5"/>
    <w:bookmarkStart w:id="66"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Keep the intended role and capability definitions in a version-controlled must-use plugin and reconcile the stored definitions against it. WordPress still stores roles in the database, and</w:t>
      </w:r>
      <w:r>
        <w:t xml:space="preserve"> </w:t>
      </w:r>
      <w:r>
        <w:rPr>
          <w:rStyle w:val="VerbatimChar"/>
        </w:rPr>
        <w:t xml:space="preserve">add_role()</w:t>
      </w:r>
      <w:r>
        <w:t xml:space="preserve"> </w:t>
      </w:r>
      <w:r>
        <w:t xml:space="preserve">does nothing when a role already exists, so code alone does not prevent tampering; it provides an auditable source of truth that makes tampering detectable and reversible. User-to-role assignments remain database-backed and need separate review (see Benchmark §5.8).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6"/>
    <w:bookmarkEnd w:id="67"/>
    <w:bookmarkStart w:id="71" w:name="security-plugins-and-monitoring"/>
    <w:p>
      <w:pPr>
        <w:pStyle w:val="Heading2"/>
      </w:pPr>
      <w:r>
        <w:t xml:space="preserve">9. Security Plugins and Monitoring</w:t>
      </w:r>
    </w:p>
    <w:bookmarkStart w:id="68"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8"/>
    <w:bookmarkStart w:id="69"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9"/>
    <w:bookmarkStart w:id="70"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70"/>
    <w:bookmarkEnd w:id="71"/>
    <w:bookmarkStart w:id="72"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72"/>
    <w:bookmarkStart w:id="77"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73"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6">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73"/>
    <w:bookmarkStart w:id="74"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4"/>
    <w:bookmarkStart w:id="75"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5"/>
    <w:bookmarkStart w:id="76"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6"/>
    <w:bookmarkEnd w:id="77"/>
    <w:bookmarkStart w:id="8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8"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8"/>
    <w:bookmarkStart w:id="79"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9"/>
    <w:bookmarkStart w:id="8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80">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60">
        <w:r>
          <w:rPr>
            <w:rStyle w:val="Hyperlink"/>
          </w:rPr>
          <w:t xml:space="preserve">WordPress Operations Runbook</w:t>
        </w:r>
      </w:hyperlink>
      <w:r>
        <w:t xml:space="preserve"> </w:t>
      </w:r>
      <w:r>
        <w:t xml:space="preserve">§10.3 and §10.4.</w:t>
      </w:r>
    </w:p>
    <w:bookmarkEnd w:id="81"/>
    <w:bookmarkStart w:id="82"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82"/>
    <w:bookmarkStart w:id="8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83"/>
    <w:bookmarkEnd w:id="84"/>
    <w:bookmarkStart w:id="8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assurance evidence: ISO/IEC 27001 certification, a current SOC 2 attestation report, PCI DSS validation, GDPR-aligned data processing agreements, and for government/education, FedRAMP authorization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ISO/IEC 27001 certification, publish SOC 2 attestation reports, and maintain PCI DSS validation. WordPress VIP additionally holds FedRAMP authorization for United States federal projects. These are different kinds of evidence: a certification, an auditor’s report on a defined system and period, a validation against a payment standard, and a government authorization. When evaluating hosting providers, check the scope and date of each and verify that it matches your organization’s compliance requirements.</w:t>
      </w:r>
    </w:p>
    <w:bookmarkEnd w:id="85"/>
    <w:bookmarkStart w:id="96"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p>
      <w:pPr>
        <w:pStyle w:val="BodyText"/>
      </w:pPr>
      <w:r>
        <w:t xml:space="preserve">WordPress 7.0 makes this discussion more concrete by shipping first-party AI integration infrastructure, including the</w:t>
      </w:r>
      <w:r>
        <w:t xml:space="preserve"> </w:t>
      </w:r>
      <w:r>
        <w:rPr>
          <w:rStyle w:val="VerbatimChar"/>
        </w:rPr>
        <w:t xml:space="preserve">WP AI Client</w:t>
      </w:r>
      <w:r>
        <w:t xml:space="preserve">, the client-side</w:t>
      </w:r>
      <w:r>
        <w:t xml:space="preserve"> </w:t>
      </w:r>
      <w:r>
        <w:rPr>
          <w:rStyle w:val="VerbatimChar"/>
        </w:rPr>
        <w:t xml:space="preserve">Abilities API</w:t>
      </w:r>
      <w:r>
        <w:t xml:space="preserve">, the</w:t>
      </w:r>
      <w:r>
        <w:t xml:space="preserve"> </w:t>
      </w:r>
      <w:r>
        <w:rPr>
          <w:rStyle w:val="VerbatimChar"/>
        </w:rPr>
        <w:t xml:space="preserve">AI Connectors</w:t>
      </w:r>
      <w:r>
        <w:t xml:space="preserve"> </w:t>
      </w:r>
      <w:r>
        <w:t xml:space="preserve">screen, and the</w:t>
      </w:r>
      <w:r>
        <w:t xml:space="preserve"> </w:t>
      </w:r>
      <w:r>
        <w:rPr>
          <w:rStyle w:val="VerbatimChar"/>
        </w:rPr>
        <w:t xml:space="preserve">Connectors API</w:t>
      </w:r>
      <w:r>
        <w:t xml:space="preserve">. See the</w:t>
      </w:r>
      <w:r>
        <w:t xml:space="preserve"> </w:t>
      </w:r>
      <w:hyperlink r:id="rId86">
        <w:r>
          <w:rPr>
            <w:rStyle w:val="Hyperlink"/>
          </w:rPr>
          <w:t xml:space="preserve">WordPress 7.0 Field Guide</w:t>
        </w:r>
      </w:hyperlink>
      <w:r>
        <w:t xml:space="preserve"> </w:t>
      </w:r>
      <w:r>
        <w:t xml:space="preserve">and the developer notes for the</w:t>
      </w:r>
      <w:r>
        <w:t xml:space="preserve"> </w:t>
      </w:r>
      <w:hyperlink r:id="rId87">
        <w:r>
          <w:rPr>
            <w:rStyle w:val="Hyperlink"/>
          </w:rPr>
          <w:t xml:space="preserve">AI Client</w:t>
        </w:r>
      </w:hyperlink>
      <w:r>
        <w:t xml:space="preserve">, the</w:t>
      </w:r>
      <w:r>
        <w:t xml:space="preserve"> </w:t>
      </w:r>
      <w:hyperlink r:id="rId88">
        <w:r>
          <w:rPr>
            <w:rStyle w:val="Hyperlink"/>
          </w:rPr>
          <w:t xml:space="preserve">Client-Side Abilities API</w:t>
        </w:r>
      </w:hyperlink>
      <w:r>
        <w:t xml:space="preserve">, and the</w:t>
      </w:r>
      <w:r>
        <w:t xml:space="preserve"> </w:t>
      </w:r>
      <w:hyperlink r:id="rId89">
        <w:r>
          <w:rPr>
            <w:rStyle w:val="Hyperlink"/>
          </w:rPr>
          <w:t xml:space="preserve">Connectors API</w:t>
        </w:r>
      </w:hyperlink>
      <w:r>
        <w:t xml:space="preserve">. For enterprise teams, these are not merely convenience features; they create new secret-management, authorization-boundary, and provider-governance decisions that should be handled as part of the platform security model.</w:t>
      </w:r>
    </w:p>
    <w:bookmarkStart w:id="90"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90"/>
    <w:bookmarkStart w:id="91"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91"/>
    <w:bookmarkStart w:id="95" w:name="securing-ai-integrations-in-wordpress"/>
    <w:p>
      <w:pPr>
        <w:pStyle w:val="Heading3"/>
      </w:pPr>
      <w:r>
        <w:t xml:space="preserve">14.3 Securing AI Integrations in WordPress</w:t>
      </w:r>
    </w:p>
    <w:p>
      <w:pPr>
        <w:pStyle w:val="FirstParagraph"/>
      </w:pPr>
      <w:r>
        <w:t xml:space="preserve">When WordPress 7.0 AI infrastructure is in scope, treat connectors, prompt execution paths, and abilities registration as security-relevant application surfaces, not just developer ergonomics.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Input validation reduces prompt injection but cannot prevent it (see</w:t>
      </w:r>
      <w:r>
        <w:t xml:space="preserve"> </w:t>
      </w:r>
      <w:hyperlink r:id="rId92">
        <w:r>
          <w:rPr>
            <w:rStyle w:val="Hyperlink"/>
          </w:rPr>
          <w:t xml:space="preserve">OWASP LLM01:2025</w:t>
        </w:r>
      </w:hyperlink>
      <w:r>
        <w:t xml:space="preserve">). Instructions can arrive as ordinary, well-formed text — typed by a user (direct injection) or carried in content the model retrieves, such as posts, comments, uploaded files, or web pages (indirect injection). Design on the assumption that the model can be manipulated: authorize every tool call and data access in deterministic code using the requesting user’s capabilities, give AI integrations least-privilege credentials, keep the set of available operations narrow, and require human approval for high-impact actions. This applies to AI-powered chatbots, search features, and content generation tools integrated with WordPress.</w:t>
      </w:r>
    </w:p>
    <w:p>
      <w:pPr>
        <w:pStyle w:val="Compact"/>
        <w:numPr>
          <w:ilvl w:val="0"/>
          <w:numId w:val="1030"/>
        </w:numPr>
      </w:pPr>
      <w:r>
        <w:rPr>
          <w:b/>
          <w:bCs/>
        </w:rPr>
        <w:t xml:space="preserve">Output Handling:</w:t>
      </w:r>
      <w:r>
        <w:t xml:space="preserve"> </w:t>
      </w:r>
      <w:r>
        <w:t xml:space="preserve">Treat GenAI-generated content as untrusted user input. Sanitize and escape AI output before displaying it on the site. Escaping does not make generated code safe to run: code or commands produced by a model (for example, in automated site management tools) need human review, validation against an allowlist of permitted operations, and execution in an isolated, least-privilege environment.</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Client-Side Prompt Execution:</w:t>
      </w:r>
      <w:r>
        <w:t xml:space="preserve"> </w:t>
      </w:r>
      <w:r>
        <w:t xml:space="preserve">Treat arbitrary browser-side prompt execution as a high-privilege pattern. The JavaScript AI client wrapper described in the</w:t>
      </w:r>
      <w:r>
        <w:t xml:space="preserve"> </w:t>
      </w:r>
      <w:hyperlink r:id="rId87">
        <w:r>
          <w:rPr>
            <w:rStyle w:val="Hyperlink"/>
          </w:rPr>
          <w:t xml:space="preserve">WordPress 7.0 AI Client dev note</w:t>
        </w:r>
      </w:hyperlink>
      <w:r>
        <w:t xml:space="preserve"> </w:t>
      </w:r>
      <w:r>
        <w:t xml:space="preserve">is distributed separately from core; it uses REST endpoints under the hood and is intentionally restricted because it can send arbitrary prompts to configured providers. For general plugin and site features, prefer narrow server-side REST endpoints with granular permission checks, and keep prompt construction, provider selection, and connector configuration scoped server-side.</w:t>
      </w:r>
    </w:p>
    <w:p>
      <w:pPr>
        <w:pStyle w:val="Compact"/>
        <w:numPr>
          <w:ilvl w:val="0"/>
          <w:numId w:val="1030"/>
        </w:numPr>
      </w:pPr>
      <w:r>
        <w:rPr>
          <w:b/>
          <w:bCs/>
        </w:rPr>
        <w:t xml:space="preserve">Abilities API Boundaries:</w:t>
      </w:r>
      <w:r>
        <w:t xml:space="preserve"> </w:t>
      </w:r>
      <w:r>
        <w:t xml:space="preserve">Treat the</w:t>
      </w:r>
      <w:r>
        <w:t xml:space="preserve"> </w:t>
      </w:r>
      <w:hyperlink r:id="rId88">
        <w:r>
          <w:rPr>
            <w:rStyle w:val="Hyperlink"/>
          </w:rPr>
          <w:t xml:space="preserve">Abilities API</w:t>
        </w:r>
      </w:hyperlink>
      <w:r>
        <w:t xml:space="preserve"> </w:t>
      </w:r>
      <w:r>
        <w:t xml:space="preserve">as an authorization surface. Abilities exposed through</w:t>
      </w:r>
      <w:r>
        <w:t xml:space="preserve"> </w:t>
      </w:r>
      <w:r>
        <w:rPr>
          <w:rStyle w:val="VerbatimChar"/>
        </w:rPr>
        <w:t xml:space="preserve">/wp-abilities/v1/</w:t>
      </w:r>
      <w:r>
        <w:t xml:space="preserve"> </w:t>
      </w:r>
      <w:r>
        <w:t xml:space="preserve">should follow the same least-privilege design expectations as any other capability-sensitive REST integration, especially where AI agents or workflow tools are involved. WordPress 7.1 adds two things architects should account for. First, a</w:t>
      </w:r>
      <w:r>
        <w:t xml:space="preserve"> </w:t>
      </w:r>
      <w:r>
        <w:rPr>
          <w:rStyle w:val="VerbatimChar"/>
        </w:rPr>
        <w:t xml:space="preserve">public</w:t>
      </w:r>
      <w:r>
        <w:t xml:space="preserve"> </w:t>
      </w:r>
      <w:r>
        <w:t xml:space="preserve">metadata flag (default</w:t>
      </w:r>
      <w:r>
        <w:t xml:space="preserve"> </w:t>
      </w:r>
      <w:r>
        <w:rPr>
          <w:rStyle w:val="VerbatimChar"/>
        </w:rPr>
        <w:t xml:space="preserve">false</w:t>
      </w:r>
      <w:r>
        <w:t xml:space="preserve">) now controls whether an ability is exposed to external clients;</w:t>
      </w:r>
      <w:r>
        <w:t xml:space="preserve"> </w:t>
      </w:r>
      <w:hyperlink r:id="rId93">
        <w:r>
          <w:rPr>
            <w:rStyle w:val="Hyperlink"/>
          </w:rPr>
          <w:t xml:space="preserve">the dev note is explicit</w:t>
        </w:r>
      </w:hyperlink>
      <w:r>
        <w:t xml:space="preserve"> </w:t>
      </w:r>
      <w:r>
        <w:t xml:space="preserve">that exposure flags are not a security boundary, so authorization must live in each ability’s</w:t>
      </w:r>
      <w:r>
        <w:t xml:space="preserve"> </w:t>
      </w:r>
      <w:r>
        <w:rPr>
          <w:rStyle w:val="VerbatimChar"/>
        </w:rPr>
        <w:t xml:space="preserve">permission_callback</w:t>
      </w:r>
      <w:r>
        <w:t xml:space="preserve">. Second,</w:t>
      </w:r>
      <w:r>
        <w:t xml:space="preserve"> </w:t>
      </w:r>
      <w:hyperlink r:id="rId94">
        <w:r>
          <w:rPr>
            <w:rStyle w:val="Hyperlink"/>
          </w:rPr>
          <w:t xml:space="preserve">execution lifecycle filters</w:t>
        </w:r>
      </w:hyperlink>
      <w:r>
        <w:t xml:space="preserve"> </w:t>
      </w:r>
      <w:r>
        <w:t xml:space="preserve">let any active plugin overturn a denial on every execution path, including REST (</w:t>
      </w:r>
      <w:r>
        <w:rPr>
          <w:rStyle w:val="VerbatimChar"/>
        </w:rPr>
        <w:t xml:space="preserve">wp_ability_permission_result</w:t>
      </w:r>
      <w:r>
        <w:t xml:space="preserve">), or return a result before the permission check runs when an ability is executed directly from PHP (</w:t>
      </w:r>
      <w:r>
        <w:rPr>
          <w:rStyle w:val="VerbatimChar"/>
        </w:rPr>
        <w:t xml:space="preserve">wp_pre_execute_ability</w:t>
      </w:r>
      <w:r>
        <w:t xml:space="preserve">; this includes WP-CLI’s</w:t>
      </w:r>
      <w:r>
        <w:t xml:space="preserve"> </w:t>
      </w:r>
      <w:r>
        <w:rPr>
          <w:rStyle w:val="VerbatimChar"/>
        </w:rPr>
        <w:t xml:space="preserve">wp ability run</w:t>
      </w:r>
      <w:r>
        <w:t xml:space="preserve">, while the core REST run endpoint and the MCP Adapter check permissions before that filter can fire). Exposure is also per channel: the MCP Adapter follows</w:t>
      </w:r>
      <w:r>
        <w:t xml:space="preserve"> </w:t>
      </w:r>
      <w:r>
        <w:rPr>
          <w:rStyle w:val="VerbatimChar"/>
        </w:rPr>
        <w:t xml:space="preserve">meta.mcp.public</w:t>
      </w:r>
      <w:r>
        <w:t xml:space="preserve"> </w:t>
      </w:r>
      <w:r>
        <w:t xml:space="preserve">or</w:t>
      </w:r>
      <w:r>
        <w:t xml:space="preserve"> </w:t>
      </w:r>
      <w:r>
        <w:rPr>
          <w:rStyle w:val="VerbatimChar"/>
        </w:rPr>
        <w:t xml:space="preserve">public</w:t>
      </w:r>
      <w:r>
        <w:t xml:space="preserve"> </w:t>
      </w:r>
      <w:r>
        <w:t xml:space="preserve">and ignores</w:t>
      </w:r>
      <w:r>
        <w:t xml:space="preserve"> </w:t>
      </w:r>
      <w:r>
        <w:rPr>
          <w:rStyle w:val="VerbatimChar"/>
        </w:rPr>
        <w:t xml:space="preserve">show_in_rest</w:t>
      </w:r>
      <w:r>
        <w:t xml:space="preserve">, and WP-CLI applies no exposure check at all. Treat code that hooks those filters as part of the authorization surface and review it accordingly (see Benchmark §11.4). These behaviors were verified against WordPress 7.1.3 core, the</w:t>
      </w:r>
      <w:r>
        <w:t xml:space="preserve"> </w:t>
      </w:r>
      <w:r>
        <w:rPr>
          <w:rStyle w:val="VerbatimChar"/>
        </w:rPr>
        <w:t xml:space="preserve">wp ability</w:t>
      </w:r>
      <w:r>
        <w:t xml:space="preserve"> </w:t>
      </w:r>
      <w:r>
        <w:t xml:space="preserve">WP-CLI command, and MCP Adapter 0.7.0.</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In WordPress 7.0, the</w:t>
      </w:r>
      <w:r>
        <w:t xml:space="preserve"> </w:t>
      </w:r>
      <w:hyperlink r:id="rId89">
        <w:r>
          <w:rPr>
            <w:rStyle w:val="Hyperlink"/>
          </w:rPr>
          <w:t xml:space="preserve">Connectors API</w:t>
        </w:r>
      </w:hyperlink>
      <w:r>
        <w:t xml:space="preserve"> </w:t>
      </w:r>
      <w:r>
        <w:t xml:space="preserve">can source credentials from environment variables, PHP constants, or the database. Prefer environment variables or</w:t>
      </w:r>
      <w:r>
        <w:t xml:space="preserve"> </w:t>
      </w:r>
      <w:r>
        <w:rPr>
          <w:rStyle w:val="VerbatimChar"/>
        </w:rPr>
        <w:t xml:space="preserve">wp-config.php</w:t>
      </w:r>
      <w:r>
        <w:t xml:space="preserve"> </w:t>
      </w:r>
      <w:r>
        <w:t xml:space="preserve">constants. Database-backed connector secrets are masked in the interface but not encrypted, so they should be treated as a lower-assurance fallback rather than the preferred operational model.</w:t>
      </w:r>
    </w:p>
    <w:bookmarkEnd w:id="95"/>
    <w:bookmarkEnd w:id="96"/>
    <w:bookmarkStart w:id="120" w:name="additional-resources"/>
    <w:p>
      <w:pPr>
        <w:pStyle w:val="Heading2"/>
      </w:pPr>
      <w:r>
        <w:t xml:space="preserve">15. Additional Resources</w:t>
      </w:r>
    </w:p>
    <w:bookmarkStart w:id="101" w:name="wordpress-security-documentation"/>
    <w:p>
      <w:pPr>
        <w:pStyle w:val="Heading3"/>
      </w:pPr>
      <w:r>
        <w:t xml:space="preserve">15.1 WordPress Security Documentation</w:t>
      </w:r>
    </w:p>
    <w:p>
      <w:pPr>
        <w:pStyle w:val="Compact"/>
        <w:numPr>
          <w:ilvl w:val="0"/>
          <w:numId w:val="1031"/>
        </w:numPr>
      </w:pPr>
      <w:hyperlink r:id="rId97">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98">
        <w:r>
          <w:rPr>
            <w:rStyle w:val="Hyperlink"/>
          </w:rPr>
          <w:t xml:space="preserve">source</w:t>
        </w:r>
      </w:hyperlink>
      <w:r>
        <w:t xml:space="preserve">)</w:t>
      </w:r>
    </w:p>
    <w:p>
      <w:pPr>
        <w:pStyle w:val="Compact"/>
        <w:numPr>
          <w:ilvl w:val="0"/>
          <w:numId w:val="1031"/>
        </w:numPr>
      </w:pPr>
      <w:hyperlink r:id="rId99">
        <w:r>
          <w:rPr>
            <w:rStyle w:val="Hyperlink"/>
          </w:rPr>
          <w:t xml:space="preserve">Brute Force Attacks (developer.wordpress.org)</w:t>
        </w:r>
      </w:hyperlink>
    </w:p>
    <w:p>
      <w:pPr>
        <w:pStyle w:val="Compact"/>
        <w:numPr>
          <w:ilvl w:val="0"/>
          <w:numId w:val="1031"/>
        </w:numPr>
      </w:pPr>
      <w:hyperlink r:id="rId100">
        <w:r>
          <w:rPr>
            <w:rStyle w:val="Hyperlink"/>
          </w:rPr>
          <w:t xml:space="preserve">WordPress VIP Security Best Practices</w:t>
        </w:r>
      </w:hyperlink>
    </w:p>
    <w:bookmarkEnd w:id="101"/>
    <w:bookmarkStart w:id="110" w:name="threat-intelligence-and-industry-reports"/>
    <w:p>
      <w:pPr>
        <w:pStyle w:val="Heading3"/>
      </w:pPr>
      <w:r>
        <w:t xml:space="preserve">15.2 Threat Intelligence and Industry Reports</w:t>
      </w:r>
    </w:p>
    <w:p>
      <w:pPr>
        <w:pStyle w:val="Compact"/>
        <w:numPr>
          <w:ilvl w:val="0"/>
          <w:numId w:val="1032"/>
        </w:numPr>
      </w:pPr>
      <w:hyperlink r:id="rId102">
        <w:r>
          <w:rPr>
            <w:rStyle w:val="Hyperlink"/>
          </w:rPr>
          <w:t xml:space="preserve">OWASP Top 10:2025 Web Application Security Risks</w:t>
        </w:r>
      </w:hyperlink>
    </w:p>
    <w:p>
      <w:pPr>
        <w:pStyle w:val="Compact"/>
        <w:numPr>
          <w:ilvl w:val="0"/>
          <w:numId w:val="1032"/>
        </w:numPr>
      </w:pPr>
      <w:hyperlink r:id="rId103">
        <w:r>
          <w:rPr>
            <w:rStyle w:val="Hyperlink"/>
          </w:rPr>
          <w:t xml:space="preserve">Patchstack State of WordPress Security (annual whitepaper)</w:t>
        </w:r>
      </w:hyperlink>
    </w:p>
    <w:p>
      <w:pPr>
        <w:pStyle w:val="Compact"/>
        <w:numPr>
          <w:ilvl w:val="0"/>
          <w:numId w:val="1032"/>
        </w:numPr>
      </w:pPr>
      <w:hyperlink r:id="rId104">
        <w:r>
          <w:rPr>
            <w:rStyle w:val="Hyperlink"/>
          </w:rPr>
          <w:t xml:space="preserve">Wordfence Annual WordPress Security Report</w:t>
        </w:r>
      </w:hyperlink>
    </w:p>
    <w:p>
      <w:pPr>
        <w:pStyle w:val="Compact"/>
        <w:numPr>
          <w:ilvl w:val="0"/>
          <w:numId w:val="1032"/>
        </w:numPr>
      </w:pPr>
      <w:hyperlink r:id="rId105">
        <w:r>
          <w:rPr>
            <w:rStyle w:val="Hyperlink"/>
          </w:rPr>
          <w:t xml:space="preserve">Sucuri Website Threat Research Report</w:t>
        </w:r>
      </w:hyperlink>
    </w:p>
    <w:p>
      <w:pPr>
        <w:pStyle w:val="Compact"/>
        <w:numPr>
          <w:ilvl w:val="0"/>
          <w:numId w:val="1032"/>
        </w:numPr>
      </w:pPr>
      <w:hyperlink r:id="rId106">
        <w:r>
          <w:rPr>
            <w:rStyle w:val="Hyperlink"/>
          </w:rPr>
          <w:t xml:space="preserve">Verizon Data Breach Investigations Report</w:t>
        </w:r>
      </w:hyperlink>
    </w:p>
    <w:p>
      <w:pPr>
        <w:pStyle w:val="Compact"/>
        <w:numPr>
          <w:ilvl w:val="0"/>
          <w:numId w:val="1032"/>
        </w:numPr>
      </w:pPr>
      <w:hyperlink r:id="rId107">
        <w:r>
          <w:rPr>
            <w:rStyle w:val="Hyperlink"/>
          </w:rPr>
          <w:t xml:space="preserve">IBM X-Force Threat Intelligence Index</w:t>
        </w:r>
      </w:hyperlink>
    </w:p>
    <w:p>
      <w:pPr>
        <w:pStyle w:val="Compact"/>
        <w:numPr>
          <w:ilvl w:val="0"/>
          <w:numId w:val="1032"/>
        </w:numPr>
      </w:pPr>
      <w:hyperlink r:id="rId108">
        <w:r>
          <w:rPr>
            <w:rStyle w:val="Hyperlink"/>
          </w:rPr>
          <w:t xml:space="preserve">IBM Cost of a Data Breach Report</w:t>
        </w:r>
      </w:hyperlink>
    </w:p>
    <w:p>
      <w:pPr>
        <w:pStyle w:val="Compact"/>
        <w:numPr>
          <w:ilvl w:val="0"/>
          <w:numId w:val="1032"/>
        </w:numPr>
      </w:pPr>
      <w:hyperlink r:id="rId109">
        <w:r>
          <w:rPr>
            <w:rStyle w:val="Hyperlink"/>
          </w:rPr>
          <w:t xml:space="preserve">CISA Known Exploited Vulnerabilities Catalog</w:t>
        </w:r>
      </w:hyperlink>
    </w:p>
    <w:bookmarkEnd w:id="110"/>
    <w:bookmarkStart w:id="114" w:name="standards-and-frameworks"/>
    <w:p>
      <w:pPr>
        <w:pStyle w:val="Heading3"/>
      </w:pPr>
      <w:r>
        <w:t xml:space="preserve">15.3 Standards and Frameworks</w:t>
      </w:r>
    </w:p>
    <w:p>
      <w:pPr>
        <w:pStyle w:val="Compact"/>
        <w:numPr>
          <w:ilvl w:val="0"/>
          <w:numId w:val="1033"/>
        </w:numPr>
      </w:pPr>
      <w:hyperlink r:id="rId111">
        <w:r>
          <w:rPr>
            <w:rStyle w:val="Hyperlink"/>
          </w:rPr>
          <w:t xml:space="preserve">NIST SP 800-63B: Digital Identity Guidelines — Authentication (Revision 4)</w:t>
        </w:r>
      </w:hyperlink>
    </w:p>
    <w:p>
      <w:pPr>
        <w:pStyle w:val="Compact"/>
        <w:numPr>
          <w:ilvl w:val="0"/>
          <w:numId w:val="1033"/>
        </w:numPr>
      </w:pPr>
      <w:hyperlink r:id="rId80">
        <w:r>
          <w:rPr>
            <w:rStyle w:val="Hyperlink"/>
          </w:rPr>
          <w:t xml:space="preserve">NIST SP 800-61r3: Incident Response Recommendations and Considerations</w:t>
        </w:r>
      </w:hyperlink>
    </w:p>
    <w:p>
      <w:pPr>
        <w:pStyle w:val="Compact"/>
        <w:numPr>
          <w:ilvl w:val="0"/>
          <w:numId w:val="1033"/>
        </w:numPr>
      </w:pPr>
      <w:hyperlink r:id="rId112">
        <w:r>
          <w:rPr>
            <w:rStyle w:val="Hyperlink"/>
          </w:rPr>
          <w:t xml:space="preserve">CIS Benchmarks</w:t>
        </w:r>
      </w:hyperlink>
    </w:p>
    <w:p>
      <w:pPr>
        <w:pStyle w:val="Compact"/>
        <w:numPr>
          <w:ilvl w:val="0"/>
          <w:numId w:val="1033"/>
        </w:numPr>
      </w:pPr>
      <w:hyperlink r:id="rId113">
        <w:r>
          <w:rPr>
            <w:rStyle w:val="Hyperlink"/>
          </w:rPr>
          <w:t xml:space="preserve">ISO/IEC 27000: Information Security Management</w:t>
        </w:r>
      </w:hyperlink>
    </w:p>
    <w:bookmarkEnd w:id="114"/>
    <w:bookmarkStart w:id="117" w:name="X00fc8c82620e041623f6fee31e62d29d538d53d"/>
    <w:p>
      <w:pPr>
        <w:pStyle w:val="Heading3"/>
      </w:pPr>
      <w:r>
        <w:t xml:space="preserve">15.4 Security Culture and Organizational Practices</w:t>
      </w:r>
    </w:p>
    <w:p>
      <w:pPr>
        <w:pStyle w:val="Compact"/>
        <w:numPr>
          <w:ilvl w:val="0"/>
          <w:numId w:val="1034"/>
        </w:numPr>
      </w:pPr>
      <w:hyperlink r:id="rId115">
        <w:r>
          <w:rPr>
            <w:rStyle w:val="Hyperlink"/>
          </w:rPr>
          <w:t xml:space="preserve">KnowBe4: Security Culture</w:t>
        </w:r>
      </w:hyperlink>
    </w:p>
    <w:p>
      <w:pPr>
        <w:pStyle w:val="Compact"/>
        <w:numPr>
          <w:ilvl w:val="0"/>
          <w:numId w:val="1034"/>
        </w:numPr>
      </w:pPr>
      <w:hyperlink r:id="rId116">
        <w:r>
          <w:rPr>
            <w:rStyle w:val="Hyperlink"/>
          </w:rPr>
          <w:t xml:space="preserve">NIST: Users Are Not Stupid — Six Cyber Security Pitfalls Overturned</w:t>
        </w:r>
      </w:hyperlink>
    </w:p>
    <w:bookmarkEnd w:id="117"/>
    <w:bookmarkStart w:id="118"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18"/>
    <w:bookmarkStart w:id="119"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Block at the web server when unused (</w:t>
            </w:r>
            <w:r>
              <w:rPr>
                <w:rStyle w:val="VerbatimChar"/>
              </w:rPr>
              <w:t xml:space="preserve">xmlrpc_enabled</w:t>
            </w:r>
            <w:r>
              <w:t xml:space="preserve"> </w:t>
            </w:r>
            <w:r>
              <w:t xml:space="preserve">alone is partial: authenticated methods only)</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19"/>
    <w:bookmarkEnd w:id="120"/>
    <w:bookmarkStart w:id="121" w:name="related-documents"/>
    <w:p>
      <w:pPr>
        <w:pStyle w:val="Heading2"/>
      </w:pPr>
      <w:r>
        <w:t xml:space="preserve">Related Documents</w:t>
      </w:r>
    </w:p>
    <w:p>
      <w:pPr>
        <w:pStyle w:val="Compact"/>
        <w:numPr>
          <w:ilvl w:val="0"/>
          <w:numId w:val="1036"/>
        </w:numPr>
      </w:pPr>
      <w:hyperlink r:id="rId4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5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60">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98">
        <w:r>
          <w:rPr>
            <w:rStyle w:val="Hyperlink"/>
          </w:rPr>
          <w:t xml:space="preserve">source repository</w:t>
        </w:r>
      </w:hyperlink>
      <w:r>
        <w:t xml:space="preserve">).</w:t>
      </w:r>
    </w:p>
    <w:bookmarkEnd w:id="121"/>
    <w:bookmarkStart w:id="123" w:name="license-and-attribution"/>
    <w:p>
      <w:pPr>
        <w:pStyle w:val="Heading2"/>
      </w:pPr>
      <w:r>
        <w:t xml:space="preserve">License and Attribution</w:t>
      </w:r>
    </w:p>
    <w:p>
      <w:pPr>
        <w:pStyle w:val="FirstParagraph"/>
      </w:pPr>
      <w:r>
        <w:t xml:space="preserve">This document is licensed under the</w:t>
      </w:r>
      <w:r>
        <w:t xml:space="preserve"> </w:t>
      </w:r>
      <w:hyperlink r:id="rId122">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23"/>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22" Target="https://creativecommons.org/licenses/by-sa/4.0/" TargetMode="External" /><Relationship Type="http://schemas.openxmlformats.org/officeDocument/2006/relationships/hyperlink" Id="rId80" Target="https://csrc.nist.gov/pubs/sp/800/61/r3/final" TargetMode="External" /><Relationship Type="http://schemas.openxmlformats.org/officeDocument/2006/relationships/hyperlink" Id="rId99" Target="https://developer.wordpress.org/advanced-administration/security/brute-force/" TargetMode="External" /><Relationship Type="http://schemas.openxmlformats.org/officeDocument/2006/relationships/hyperlink" Id="rId97" Target="https://developer.wordpress.org/advanced-administration/security/hardening/" TargetMode="External" /><Relationship Type="http://schemas.openxmlformats.org/officeDocument/2006/relationships/hyperlink" Id="rId54" Target="https://developer.wordpress.org/reference/hooks/xmlrpc_enabled/" TargetMode="External" /><Relationship Type="http://schemas.openxmlformats.org/officeDocument/2006/relationships/hyperlink" Id="rId62" Target="https://docs.wpvip.com/manage-user-access/vip-dashboard/step-up-auth/" TargetMode="External" /><Relationship Type="http://schemas.openxmlformats.org/officeDocument/2006/relationships/hyperlink" Id="rId100" Target="https://docs.wpvip.com/security/" TargetMode="External" /><Relationship Type="http://schemas.openxmlformats.org/officeDocument/2006/relationships/hyperlink" Id="rId92" Target="https://genai.owasp.org/llmrisk/llm01-prompt-injection/" TargetMode="External" /><Relationship Type="http://schemas.openxmlformats.org/officeDocument/2006/relationships/hyperlink" Id="rId98" Target="https://github.com/WordPress/Security-White-Paper" TargetMode="External" /><Relationship Type="http://schemas.openxmlformats.org/officeDocument/2006/relationships/hyperlink" Id="rId60" Target="https://github.com/dknauss/wordpress-runbook-template" TargetMode="External" /><Relationship Type="http://schemas.openxmlformats.org/officeDocument/2006/relationships/hyperlink" Id="rId46" Target="https://github.com/dknauss/wp-security-benchmark" TargetMode="External" /><Relationship Type="http://schemas.openxmlformats.org/officeDocument/2006/relationships/hyperlink" Id="rId50"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9" Target="https://make.wordpress.org/core/2026/03/18/introducing-the-connectors-api-in-wordpress-7-0/" TargetMode="External" /><Relationship Type="http://schemas.openxmlformats.org/officeDocument/2006/relationships/hyperlink" Id="rId88" Target="https://make.wordpress.org/core/2026/03/24/client-side-abilities-api-in-wordpress-7-0/" TargetMode="External" /><Relationship Type="http://schemas.openxmlformats.org/officeDocument/2006/relationships/hyperlink" Id="rId87" Target="https://make.wordpress.org/core/2026/03/24/introducing-the-ai-client-in-wordpress-7-0/" TargetMode="External" /><Relationship Type="http://schemas.openxmlformats.org/officeDocument/2006/relationships/hyperlink" Id="rId86" Target="https://make.wordpress.org/core/2026/05/14/wordpress-7-0-field-guide/" TargetMode="External" /><Relationship Type="http://schemas.openxmlformats.org/officeDocument/2006/relationships/hyperlink" Id="rId94" Target="https://make.wordpress.org/core/2026/07/29/new-execution-lifecycle-filters-for-the-abilities-api-in-wordpress-7-1/" TargetMode="External" /><Relationship Type="http://schemas.openxmlformats.org/officeDocument/2006/relationships/hyperlink" Id="rId93" Target="https://make.wordpress.org/core/2026/08/04/a-unified-public-exposure-flag-for-abilities-in-wordpress-7-1/"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43" Target="https://make.wordpress.org/security/2022/09/07/dropping-security-updates-for-wordpress-versions-3-7-through-4-0/" TargetMode="External" /><Relationship Type="http://schemas.openxmlformats.org/officeDocument/2006/relationships/hyperlink" Id="rId102" Target="https://owasp.org/Top10/2025/" TargetMode="External" /><Relationship Type="http://schemas.openxmlformats.org/officeDocument/2006/relationships/hyperlink" Id="rId111" Target="https://pages.nist.gov/800-63-4/sp800-63b.html" TargetMode="External" /><Relationship Type="http://schemas.openxmlformats.org/officeDocument/2006/relationships/hyperlink" Id="rId103" Target="https://patchstack.com/whitepaper/" TargetMode="External" /><Relationship Type="http://schemas.openxmlformats.org/officeDocument/2006/relationships/hyperlink" Id="rId105"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27" Target="https://wordpress.org/news/2026/09/wordpress-7-1-1-maintenance-and-security-release/" TargetMode="External" /><Relationship Type="http://schemas.openxmlformats.org/officeDocument/2006/relationships/hyperlink" Id="rId28" Target="https://wordpress.org/news/2026/10/wordpress-7-1-3-maintenance-and-security-release/" TargetMode="External" /><Relationship Type="http://schemas.openxmlformats.org/officeDocument/2006/relationships/hyperlink" Id="rId109" Target="https://www.cisa.gov/known-exploited-vulnerabilities-catalog" TargetMode="External" /><Relationship Type="http://schemas.openxmlformats.org/officeDocument/2006/relationships/hyperlink" Id="rId112" Target="https://www.cisecurity.org/cis-benchmarks" TargetMode="External" /><Relationship Type="http://schemas.openxmlformats.org/officeDocument/2006/relationships/hyperlink" Id="rId108" Target="https://www.ibm.com/reports/data-breach" TargetMode="External" /><Relationship Type="http://schemas.openxmlformats.org/officeDocument/2006/relationships/hyperlink" Id="rId107" Target="https://www.ibm.com/reports/threat-intelligence" TargetMode="External" /><Relationship Type="http://schemas.openxmlformats.org/officeDocument/2006/relationships/hyperlink" Id="rId113" Target="https://www.iso.org/standard/73906.html" TargetMode="External" /><Relationship Type="http://schemas.openxmlformats.org/officeDocument/2006/relationships/hyperlink" Id="rId115" Target="https://www.knowbe4.com/security-culture" TargetMode="External" /><Relationship Type="http://schemas.openxmlformats.org/officeDocument/2006/relationships/hyperlink" Id="rId116" Target="https://www.nist.gov/" TargetMode="External" /><Relationship Type="http://schemas.openxmlformats.org/officeDocument/2006/relationships/hyperlink" Id="rId106" Target="https://www.verizon.com/business/resources/reports/dbir/" TargetMode="External" /><Relationship Type="http://schemas.openxmlformats.org/officeDocument/2006/relationships/hyperlink" Id="rId104"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22" Target="https://creativecommons.org/licenses/by-sa/4.0/" TargetMode="External" /><Relationship Type="http://schemas.openxmlformats.org/officeDocument/2006/relationships/hyperlink" Id="rId80" Target="https://csrc.nist.gov/pubs/sp/800/61/r3/final" TargetMode="External" /><Relationship Type="http://schemas.openxmlformats.org/officeDocument/2006/relationships/hyperlink" Id="rId99" Target="https://developer.wordpress.org/advanced-administration/security/brute-force/" TargetMode="External" /><Relationship Type="http://schemas.openxmlformats.org/officeDocument/2006/relationships/hyperlink" Id="rId97" Target="https://developer.wordpress.org/advanced-administration/security/hardening/" TargetMode="External" /><Relationship Type="http://schemas.openxmlformats.org/officeDocument/2006/relationships/hyperlink" Id="rId54" Target="https://developer.wordpress.org/reference/hooks/xmlrpc_enabled/" TargetMode="External" /><Relationship Type="http://schemas.openxmlformats.org/officeDocument/2006/relationships/hyperlink" Id="rId62" Target="https://docs.wpvip.com/manage-user-access/vip-dashboard/step-up-auth/" TargetMode="External" /><Relationship Type="http://schemas.openxmlformats.org/officeDocument/2006/relationships/hyperlink" Id="rId100" Target="https://docs.wpvip.com/security/" TargetMode="External" /><Relationship Type="http://schemas.openxmlformats.org/officeDocument/2006/relationships/hyperlink" Id="rId92" Target="https://genai.owasp.org/llmrisk/llm01-prompt-injection/" TargetMode="External" /><Relationship Type="http://schemas.openxmlformats.org/officeDocument/2006/relationships/hyperlink" Id="rId98" Target="https://github.com/WordPress/Security-White-Paper" TargetMode="External" /><Relationship Type="http://schemas.openxmlformats.org/officeDocument/2006/relationships/hyperlink" Id="rId60" Target="https://github.com/dknauss/wordpress-runbook-template" TargetMode="External" /><Relationship Type="http://schemas.openxmlformats.org/officeDocument/2006/relationships/hyperlink" Id="rId46" Target="https://github.com/dknauss/wp-security-benchmark" TargetMode="External" /><Relationship Type="http://schemas.openxmlformats.org/officeDocument/2006/relationships/hyperlink" Id="rId50"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9" Target="https://make.wordpress.org/core/2026/03/18/introducing-the-connectors-api-in-wordpress-7-0/" TargetMode="External" /><Relationship Type="http://schemas.openxmlformats.org/officeDocument/2006/relationships/hyperlink" Id="rId88" Target="https://make.wordpress.org/core/2026/03/24/client-side-abilities-api-in-wordpress-7-0/" TargetMode="External" /><Relationship Type="http://schemas.openxmlformats.org/officeDocument/2006/relationships/hyperlink" Id="rId87" Target="https://make.wordpress.org/core/2026/03/24/introducing-the-ai-client-in-wordpress-7-0/" TargetMode="External" /><Relationship Type="http://schemas.openxmlformats.org/officeDocument/2006/relationships/hyperlink" Id="rId86" Target="https://make.wordpress.org/core/2026/05/14/wordpress-7-0-field-guide/" TargetMode="External" /><Relationship Type="http://schemas.openxmlformats.org/officeDocument/2006/relationships/hyperlink" Id="rId94" Target="https://make.wordpress.org/core/2026/07/29/new-execution-lifecycle-filters-for-the-abilities-api-in-wordpress-7-1/" TargetMode="External" /><Relationship Type="http://schemas.openxmlformats.org/officeDocument/2006/relationships/hyperlink" Id="rId93" Target="https://make.wordpress.org/core/2026/08/04/a-unified-public-exposure-flag-for-abilities-in-wordpress-7-1/"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43" Target="https://make.wordpress.org/security/2022/09/07/dropping-security-updates-for-wordpress-versions-3-7-through-4-0/" TargetMode="External" /><Relationship Type="http://schemas.openxmlformats.org/officeDocument/2006/relationships/hyperlink" Id="rId102" Target="https://owasp.org/Top10/2025/" TargetMode="External" /><Relationship Type="http://schemas.openxmlformats.org/officeDocument/2006/relationships/hyperlink" Id="rId111" Target="https://pages.nist.gov/800-63-4/sp800-63b.html" TargetMode="External" /><Relationship Type="http://schemas.openxmlformats.org/officeDocument/2006/relationships/hyperlink" Id="rId103" Target="https://patchstack.com/whitepaper/" TargetMode="External" /><Relationship Type="http://schemas.openxmlformats.org/officeDocument/2006/relationships/hyperlink" Id="rId105"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27" Target="https://wordpress.org/news/2026/09/wordpress-7-1-1-maintenance-and-security-release/" TargetMode="External" /><Relationship Type="http://schemas.openxmlformats.org/officeDocument/2006/relationships/hyperlink" Id="rId28" Target="https://wordpress.org/news/2026/10/wordpress-7-1-3-maintenance-and-security-release/" TargetMode="External" /><Relationship Type="http://schemas.openxmlformats.org/officeDocument/2006/relationships/hyperlink" Id="rId109" Target="https://www.cisa.gov/known-exploited-vulnerabilities-catalog" TargetMode="External" /><Relationship Type="http://schemas.openxmlformats.org/officeDocument/2006/relationships/hyperlink" Id="rId112" Target="https://www.cisecurity.org/cis-benchmarks" TargetMode="External" /><Relationship Type="http://schemas.openxmlformats.org/officeDocument/2006/relationships/hyperlink" Id="rId108" Target="https://www.ibm.com/reports/data-breach" TargetMode="External" /><Relationship Type="http://schemas.openxmlformats.org/officeDocument/2006/relationships/hyperlink" Id="rId107" Target="https://www.ibm.com/reports/threat-intelligence" TargetMode="External" /><Relationship Type="http://schemas.openxmlformats.org/officeDocument/2006/relationships/hyperlink" Id="rId113" Target="https://www.iso.org/standard/73906.html" TargetMode="External" /><Relationship Type="http://schemas.openxmlformats.org/officeDocument/2006/relationships/hyperlink" Id="rId115" Target="https://www.knowbe4.com/security-culture" TargetMode="External" /><Relationship Type="http://schemas.openxmlformats.org/officeDocument/2006/relationships/hyperlink" Id="rId116" Target="https://www.nist.gov/" TargetMode="External" /><Relationship Type="http://schemas.openxmlformats.org/officeDocument/2006/relationships/hyperlink" Id="rId106" Target="https://www.verizon.com/business/resources/reports/dbir/" TargetMode="External" /><Relationship Type="http://schemas.openxmlformats.org/officeDocument/2006/relationships/hyperlink" Id="rId104"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2026-10-08T04:10:50Z</dcterms:created>
  <dcterms:modified xsi:type="dcterms:W3CDTF">2026-10-08T04:10:50Z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1.1.1</vt:lpwstr>
  </property>
</Properties>
</file>