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through the WordPress 7.0 release cycle.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5"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2"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2"/>
    <w:bookmarkStart w:id="83"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3"/>
    <w:bookmarkStart w:id="84"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4"/>
    <w:bookmarkEnd w:id="85"/>
    <w:bookmarkStart w:id="109" w:name="additional-resources"/>
    <w:p>
      <w:pPr>
        <w:pStyle w:val="Heading2"/>
      </w:pPr>
      <w:r>
        <w:t xml:space="preserve">15. Additional Resources</w:t>
      </w:r>
    </w:p>
    <w:bookmarkStart w:id="90" w:name="wordpress-security-documentation"/>
    <w:p>
      <w:pPr>
        <w:pStyle w:val="Heading3"/>
      </w:pPr>
      <w:r>
        <w:t xml:space="preserve">15.1 WordPress Security Documentation</w:t>
      </w:r>
    </w:p>
    <w:p>
      <w:pPr>
        <w:pStyle w:val="Compact"/>
        <w:numPr>
          <w:ilvl w:val="0"/>
          <w:numId w:val="1031"/>
        </w:numPr>
      </w:pPr>
      <w:hyperlink r:id="rId86">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7">
        <w:r>
          <w:rPr>
            <w:rStyle w:val="Hyperlink"/>
          </w:rPr>
          <w:t xml:space="preserve">source</w:t>
        </w:r>
      </w:hyperlink>
      <w:r>
        <w:t xml:space="preserve">)</w:t>
      </w:r>
    </w:p>
    <w:p>
      <w:pPr>
        <w:pStyle w:val="Compact"/>
        <w:numPr>
          <w:ilvl w:val="0"/>
          <w:numId w:val="1031"/>
        </w:numPr>
      </w:pPr>
      <w:hyperlink r:id="rId88">
        <w:r>
          <w:rPr>
            <w:rStyle w:val="Hyperlink"/>
          </w:rPr>
          <w:t xml:space="preserve">Brute Force Attacks (developer.wordpress.org)</w:t>
        </w:r>
      </w:hyperlink>
    </w:p>
    <w:p>
      <w:pPr>
        <w:pStyle w:val="Compact"/>
        <w:numPr>
          <w:ilvl w:val="0"/>
          <w:numId w:val="1031"/>
        </w:numPr>
      </w:pPr>
      <w:hyperlink r:id="rId89">
        <w:r>
          <w:rPr>
            <w:rStyle w:val="Hyperlink"/>
          </w:rPr>
          <w:t xml:space="preserve">WordPress VIP Security Best Practices</w:t>
        </w:r>
      </w:hyperlink>
    </w:p>
    <w:bookmarkEnd w:id="90"/>
    <w:bookmarkStart w:id="99" w:name="threat-intelligence-and-industry-reports"/>
    <w:p>
      <w:pPr>
        <w:pStyle w:val="Heading3"/>
      </w:pPr>
      <w:r>
        <w:t xml:space="preserve">15.2 Threat Intelligence and Industry Reports</w:t>
      </w:r>
    </w:p>
    <w:p>
      <w:pPr>
        <w:pStyle w:val="Compact"/>
        <w:numPr>
          <w:ilvl w:val="0"/>
          <w:numId w:val="1032"/>
        </w:numPr>
      </w:pPr>
      <w:hyperlink r:id="rId91">
        <w:r>
          <w:rPr>
            <w:rStyle w:val="Hyperlink"/>
          </w:rPr>
          <w:t xml:space="preserve">OWASP Top 10:2025 Web Application Security Risks</w:t>
        </w:r>
      </w:hyperlink>
    </w:p>
    <w:p>
      <w:pPr>
        <w:pStyle w:val="Compact"/>
        <w:numPr>
          <w:ilvl w:val="0"/>
          <w:numId w:val="1032"/>
        </w:numPr>
      </w:pPr>
      <w:hyperlink r:id="rId92">
        <w:r>
          <w:rPr>
            <w:rStyle w:val="Hyperlink"/>
          </w:rPr>
          <w:t xml:space="preserve">Patchstack State of WordPress Security (annual whitepaper)</w:t>
        </w:r>
      </w:hyperlink>
    </w:p>
    <w:p>
      <w:pPr>
        <w:pStyle w:val="Compact"/>
        <w:numPr>
          <w:ilvl w:val="0"/>
          <w:numId w:val="1032"/>
        </w:numPr>
      </w:pPr>
      <w:hyperlink r:id="rId93">
        <w:r>
          <w:rPr>
            <w:rStyle w:val="Hyperlink"/>
          </w:rPr>
          <w:t xml:space="preserve">Wordfence Annual WordPress Security Report</w:t>
        </w:r>
      </w:hyperlink>
    </w:p>
    <w:p>
      <w:pPr>
        <w:pStyle w:val="Compact"/>
        <w:numPr>
          <w:ilvl w:val="0"/>
          <w:numId w:val="1032"/>
        </w:numPr>
      </w:pPr>
      <w:hyperlink r:id="rId94">
        <w:r>
          <w:rPr>
            <w:rStyle w:val="Hyperlink"/>
          </w:rPr>
          <w:t xml:space="preserve">Sucuri Website Threat Research Report</w:t>
        </w:r>
      </w:hyperlink>
    </w:p>
    <w:p>
      <w:pPr>
        <w:pStyle w:val="Compact"/>
        <w:numPr>
          <w:ilvl w:val="0"/>
          <w:numId w:val="1032"/>
        </w:numPr>
      </w:pPr>
      <w:hyperlink r:id="rId95">
        <w:r>
          <w:rPr>
            <w:rStyle w:val="Hyperlink"/>
          </w:rPr>
          <w:t xml:space="preserve">Verizon Data Breach Investigations Report</w:t>
        </w:r>
      </w:hyperlink>
    </w:p>
    <w:p>
      <w:pPr>
        <w:pStyle w:val="Compact"/>
        <w:numPr>
          <w:ilvl w:val="0"/>
          <w:numId w:val="1032"/>
        </w:numPr>
      </w:pPr>
      <w:hyperlink r:id="rId96">
        <w:r>
          <w:rPr>
            <w:rStyle w:val="Hyperlink"/>
          </w:rPr>
          <w:t xml:space="preserve">IBM X-Force Threat Intelligence Index</w:t>
        </w:r>
      </w:hyperlink>
    </w:p>
    <w:p>
      <w:pPr>
        <w:pStyle w:val="Compact"/>
        <w:numPr>
          <w:ilvl w:val="0"/>
          <w:numId w:val="1032"/>
        </w:numPr>
      </w:pPr>
      <w:hyperlink r:id="rId97">
        <w:r>
          <w:rPr>
            <w:rStyle w:val="Hyperlink"/>
          </w:rPr>
          <w:t xml:space="preserve">IBM Cost of a Data Breach Report</w:t>
        </w:r>
      </w:hyperlink>
    </w:p>
    <w:p>
      <w:pPr>
        <w:pStyle w:val="Compact"/>
        <w:numPr>
          <w:ilvl w:val="0"/>
          <w:numId w:val="1032"/>
        </w:numPr>
      </w:pPr>
      <w:hyperlink r:id="rId98">
        <w:r>
          <w:rPr>
            <w:rStyle w:val="Hyperlink"/>
          </w:rPr>
          <w:t xml:space="preserve">CISA Known Exploited Vulnerabilities Catalog</w:t>
        </w:r>
      </w:hyperlink>
    </w:p>
    <w:bookmarkEnd w:id="99"/>
    <w:bookmarkStart w:id="103" w:name="standards-and-frameworks"/>
    <w:p>
      <w:pPr>
        <w:pStyle w:val="Heading3"/>
      </w:pPr>
      <w:r>
        <w:t xml:space="preserve">15.3 Standards and Frameworks</w:t>
      </w:r>
    </w:p>
    <w:p>
      <w:pPr>
        <w:pStyle w:val="Compact"/>
        <w:numPr>
          <w:ilvl w:val="0"/>
          <w:numId w:val="1033"/>
        </w:numPr>
      </w:pPr>
      <w:hyperlink r:id="rId100">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1">
        <w:r>
          <w:rPr>
            <w:rStyle w:val="Hyperlink"/>
          </w:rPr>
          <w:t xml:space="preserve">CIS Benchmarks</w:t>
        </w:r>
      </w:hyperlink>
    </w:p>
    <w:p>
      <w:pPr>
        <w:pStyle w:val="Compact"/>
        <w:numPr>
          <w:ilvl w:val="0"/>
          <w:numId w:val="1033"/>
        </w:numPr>
      </w:pPr>
      <w:hyperlink r:id="rId102">
        <w:r>
          <w:rPr>
            <w:rStyle w:val="Hyperlink"/>
          </w:rPr>
          <w:t xml:space="preserve">ISO/IEC 27000: Information Security Management</w:t>
        </w:r>
      </w:hyperlink>
    </w:p>
    <w:bookmarkEnd w:id="103"/>
    <w:bookmarkStart w:id="106" w:name="X00fc8c82620e041623f6fee31e62d29d538d53d"/>
    <w:p>
      <w:pPr>
        <w:pStyle w:val="Heading3"/>
      </w:pPr>
      <w:r>
        <w:t xml:space="preserve">15.4 Security Culture and Organizational Practices</w:t>
      </w:r>
    </w:p>
    <w:p>
      <w:pPr>
        <w:pStyle w:val="Compact"/>
        <w:numPr>
          <w:ilvl w:val="0"/>
          <w:numId w:val="1034"/>
        </w:numPr>
      </w:pPr>
      <w:hyperlink r:id="rId104">
        <w:r>
          <w:rPr>
            <w:rStyle w:val="Hyperlink"/>
          </w:rPr>
          <w:t xml:space="preserve">KnowBe4: Security Culture</w:t>
        </w:r>
      </w:hyperlink>
    </w:p>
    <w:p>
      <w:pPr>
        <w:pStyle w:val="Compact"/>
        <w:numPr>
          <w:ilvl w:val="0"/>
          <w:numId w:val="1034"/>
        </w:numPr>
      </w:pPr>
      <w:hyperlink r:id="rId105">
        <w:r>
          <w:rPr>
            <w:rStyle w:val="Hyperlink"/>
          </w:rPr>
          <w:t xml:space="preserve">NIST: Users Are Not Stupid — Six Cyber Security Pitfalls Overturned</w:t>
        </w:r>
      </w:hyperlink>
    </w:p>
    <w:bookmarkEnd w:id="106"/>
    <w:bookmarkStart w:id="107"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7"/>
    <w:bookmarkStart w:id="108"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8"/>
    <w:bookmarkEnd w:id="109"/>
    <w:bookmarkStart w:id="110"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7">
        <w:r>
          <w:rPr>
            <w:rStyle w:val="Hyperlink"/>
          </w:rPr>
          <w:t xml:space="preserve">source repository</w:t>
        </w:r>
      </w:hyperlink>
      <w:r>
        <w:t xml:space="preserve">).</w:t>
      </w:r>
    </w:p>
    <w:bookmarkEnd w:id="110"/>
    <w:bookmarkStart w:id="112" w:name="license-and-attribution"/>
    <w:p>
      <w:pPr>
        <w:pStyle w:val="Heading2"/>
      </w:pPr>
      <w:r>
        <w:t xml:space="preserve">License and Attribution</w:t>
      </w:r>
    </w:p>
    <w:p>
      <w:pPr>
        <w:pStyle w:val="FirstParagraph"/>
      </w:pPr>
      <w:r>
        <w:t xml:space="preserve">This document is licensed under the</w:t>
      </w:r>
      <w:r>
        <w:t xml:space="preserve"> </w:t>
      </w:r>
      <w:hyperlink r:id="rId11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2026-03-15T21:50:05Z</dcterms:created>
  <dcterms:modified xsi:type="dcterms:W3CDTF">2026-03-15T21:50:05Z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1.0</vt:lpwstr>
  </property>
</Properties>
</file>