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Author"/>
      </w:pPr>
      <w:r>
        <w:t xml:space="preserve">General Editor: Dan Knauss.</w:t>
      </w:r>
    </w:p>
    <w:p>
      <w:pPr>
        <w:pStyle w:val="Date"/>
      </w:pPr>
      <w:r>
        <w:t xml:space="preserve">March 8,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powering over 43% of the top 10 million websites and holding a 63% CMS market share (W3Techs, September 2025).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Patchstack’s State of WordPress Security report (2026 edition, covering 2025 data) recorded 11,334 WordPress vulnerabilities — a 42% year-over-year increase following 7,966 in 2024 and 5,948 in 2023. Plugins accounted for 10,359 of these, themes 971, and WordPress core just 2. Nearly half (46%) of vulnerabilities had no developer fix at the time of public disclosure, and the weighted median time to first exploit for high-impact vulnerabilities was 5 hours. The 2026 report is also the first to provide exploitation-by-type data (from Patchstack’s RapidMitigate blocked-attack telemetry), revealing a dramatic gap between what gets</w:t>
      </w:r>
      <w:r>
        <w:t xml:space="preserve"> </w:t>
      </w:r>
      <w:r>
        <w:rPr>
          <w:i/>
          <w:iCs/>
        </w:rPr>
        <w:t xml:space="preserve">filed</w:t>
      </w:r>
      <w:r>
        <w:t xml:space="preserve"> </w:t>
      </w:r>
      <w:r>
        <w:t xml:space="preserve">and what gets</w:t>
      </w:r>
      <w:r>
        <w:t xml:space="preserve"> </w:t>
      </w:r>
      <w:r>
        <w:rPr>
          <w:i/>
          <w:iCs/>
        </w:rPr>
        <w:t xml:space="preserve">attacked</w:t>
      </w:r>
      <w:r>
        <w:t xml:space="preserve">: Broken Access Control accounts for roughly 14% of discovered vulnerabilities but 57% of exploitation attempts, while Cross-Site Scripting accounts for nearly half of discoveries but only 1% of attacks. This distinction matters for prioritization — vulnerability counts alone do not reflect real-world risk.</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9"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approximately 50 lead developers and security researchers — some employed by Automattic, others volunteering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2">
        <w:r>
          <w:rPr>
            <w:rStyle w:val="Hyperlink"/>
          </w:rPr>
          <w:t xml:space="preserve">WordPress Security White Paper</w:t>
        </w:r>
      </w:hyperlink>
      <w:r>
        <w:t xml:space="preserve">.</w:t>
      </w:r>
    </w:p>
    <w:bookmarkEnd w:id="24"/>
    <w:bookmarkStart w:id="26" w:name="the-release-cycle"/>
    <w:p>
      <w:pPr>
        <w:pStyle w:val="Heading3"/>
      </w:pPr>
      <w:r>
        <w:t xml:space="preserve">3.2 The Release Cycle</w:t>
      </w:r>
    </w:p>
    <w:p>
      <w:pPr>
        <w:pStyle w:val="FirstParagraph"/>
      </w:pPr>
      <w:r>
        <w:t xml:space="preserve">WordPress follows a major/minor versioning scheme. Major releases (e.g., 6.5, 6.6) ship new features on a roughly four-month cycle through a structured process of scoping, development, beta testing, and release candidates. Minor releases (e.g., 6.5.1) contain only security and critical bug fixes. See the</w:t>
      </w:r>
      <w:r>
        <w:t xml:space="preserve"> </w:t>
      </w:r>
      <w:hyperlink r:id="rId25">
        <w:r>
          <w:rPr>
            <w:rStyle w:val="Hyperlink"/>
          </w:rPr>
          <w:t xml:space="preserve">WordPress Release Cycle documentation</w:t>
        </w:r>
      </w:hyperlink>
      <w:r>
        <w:t xml:space="preserve"> </w:t>
      </w:r>
      <w:r>
        <w:t xml:space="preserve">for process details.</w:t>
      </w:r>
    </w:p>
    <w:bookmarkEnd w:id="26"/>
    <w:bookmarkStart w:id="27"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3.7.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7"/>
    <w:bookmarkStart w:id="28"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All nonces are invalidated on logout. Plugins and themes that handle form submissions or AJAX requests must implement nonce verification — missing or broken nonce checks are among the most common plugin vulnerability patterns. The HTTP API includes built-in SSRF protections (</w:t>
      </w:r>
      <w:r>
        <w:rPr>
          <w:rStyle w:val="VerbatimChar"/>
        </w:rPr>
        <w:t xml:space="preserve">wp_http_validate_url()</w:t>
      </w:r>
      <w:r>
        <w:t xml:space="preserve">) that block outbound requests to loopback addresses, private IP ranges, and non-standard ports. For defense in depth, supplement these with network-level egress filtering and WAF rules. SSRF — previously a standalone category (A10) in the OWASP Top 10:2021 — is classified under Broken Access Control in the 2025 edition.</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2"/>
    <w:bookmarkStart w:id="33"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7.3+ with the sodium or argon2 extension)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3.7).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1"/>
    <w:bookmarkEnd w:id="42"/>
    <w:bookmarkStart w:id="49"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pStyle w:val="BodyText"/>
      </w:pPr>
      <w:r>
        <w:t xml:space="preserve">Each recommendation in this section corresponds to an auditable control in the</w:t>
      </w:r>
      <w:r>
        <w:t xml:space="preserve"> </w:t>
      </w:r>
      <w:hyperlink r:id="rId43">
        <w:r>
          <w:rPr>
            <w:rStyle w:val="Hyperlink"/>
          </w:rPr>
          <w:t xml:space="preserve">WordPress Security Benchmark</w:t>
        </w:r>
      </w:hyperlink>
      <w:r>
        <w:t xml:space="preserve"> </w:t>
      </w:r>
      <w:r>
        <w:t xml:space="preserve">§1.1 through §1.5, which provide step-by-step audit commands, remediation snippets, and default-value documentation.</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As of 2026, PHP 8.2 is in security-only support and PHP 8.3+ is recommended for new deployments.</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 Note: WordPress core does not use PHP native sessions — these settings are defense-in-depth for plugins that call</w:t>
      </w:r>
      <w:r>
        <w:t xml:space="preserve"> </w:t>
      </w:r>
      <w:r>
        <w:rPr>
          <w:rStyle w:val="VerbatimChar"/>
        </w:rPr>
        <w:t xml:space="preserve">session_start()</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6"/>
    <w:bookmarkStart w:id="48" w:name="file-permissions"/>
    <w:p>
      <w:pPr>
        <w:pStyle w:val="Heading3"/>
      </w:pPr>
      <w:r>
        <w:t xml:space="preserve">6.4 File Permissions</w:t>
      </w:r>
    </w:p>
    <w:p>
      <w:pPr>
        <w:pStyle w:val="FirstParagraph"/>
      </w:pPr>
      <w:r>
        <w:t xml:space="preserve">Restrict file permissions and ownership using a documented least-privilege model. File permissions are context-dependent; the</w:t>
      </w:r>
      <w:r>
        <w:t xml:space="preserve"> </w:t>
      </w:r>
      <w:hyperlink r:id="rId47">
        <w:r>
          <w:rPr>
            <w:rStyle w:val="Hyperlink"/>
          </w:rPr>
          <w:t xml:space="preserve">WordPress Security Style Guide</w:t>
        </w:r>
      </w:hyperlink>
      <w:r>
        <w:t xml:space="preserve"> </w:t>
      </w:r>
      <w:r>
        <w:t xml:space="preserve">§3.7 explains how to communicate environment-specific recommendations. The</w:t>
      </w:r>
      <w:r>
        <w:t xml:space="preserve"> </w:t>
      </w:r>
      <w:hyperlink r:id="rId43">
        <w:r>
          <w:rPr>
            <w:rStyle w:val="Hyperlink"/>
          </w:rPr>
          <w:t xml:space="preserve">WordPress Security Benchmark</w:t>
        </w:r>
      </w:hyperlink>
      <w:r>
        <w:t xml:space="preserve"> </w:t>
      </w:r>
      <w:r>
        <w:t xml:space="preserve">§6.1 provides the auditable control.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8"/>
    <w:bookmarkEnd w:id="49"/>
    <w:bookmarkStart w:id="55" w:name="wordpress-application-hardening"/>
    <w:p>
      <w:pPr>
        <w:pStyle w:val="Heading2"/>
      </w:pPr>
      <w:r>
        <w:t xml:space="preserve">7. WordPress Application Hardening</w:t>
      </w:r>
    </w:p>
    <w:bookmarkStart w:id="50"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Dashboard.</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50"/>
    <w:bookmarkStart w:id="51"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set</w:t>
      </w:r>
      <w:r>
        <w:t xml:space="preserve">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w:t>
      </w:r>
      <w:r>
        <w:t xml:space="preserve">and add a system cron entry (for example,</w:t>
      </w:r>
      <w:r>
        <w:t xml:space="preserve"> </w:t>
      </w:r>
      <w:r>
        <w:rPr>
          <w:rStyle w:val="VerbatimChar"/>
        </w:rPr>
        <w:t xml:space="preserve">*/5 * * * * cd /path/to/wordpress &amp;&amp; wp cron event run --due-now</w:t>
      </w:r>
      <w:r>
        <w:t xml:space="preserve">). Without the constant, the system cron runs in addition to page-load triggers rather than replacing them. Treat this primarily as an operations/reliability control, with secondary security benefits.</w:t>
      </w:r>
    </w:p>
    <w:bookmarkEnd w:id="51"/>
    <w:bookmarkStart w:id="52" w:name="database-security"/>
    <w:p>
      <w:pPr>
        <w:pStyle w:val="Heading3"/>
      </w:pPr>
      <w:r>
        <w:t xml:space="preserve">7.3 Database Security</w:t>
      </w:r>
    </w:p>
    <w:p>
      <w:pPr>
        <w:pStyle w:val="FirstParagraph"/>
      </w:pPr>
      <w:r>
        <w:t xml:space="preserve">For prescriptive audit and remediation procedures corresponding to each database recommendation below, see</w:t>
      </w:r>
      <w:r>
        <w:t xml:space="preserve"> </w:t>
      </w:r>
      <w:hyperlink r:id="rId43">
        <w:r>
          <w:rPr>
            <w:rStyle w:val="Hyperlink"/>
          </w:rPr>
          <w:t xml:space="preserve">WordPress Security Benchmark</w:t>
        </w:r>
      </w:hyperlink>
      <w:r>
        <w:t xml:space="preserve"> </w:t>
      </w:r>
      <w:r>
        <w:t xml:space="preserve">§3.1 through §3.4.</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2"/>
    <w:bookmarkStart w:id="53"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3"/>
    <w:bookmarkStart w:id="54"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serves appropriate CORS headers to prevent unauthorized cross-domain requests. For sites that serve API responses to specific external origins (e.g., a decoupled front-end on a different domain), configure CORS headers explicitly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4"/>
    <w:bookmarkEnd w:id="55"/>
    <w:bookmarkStart w:id="62"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The Verizon DBIR (2025) found that credential abuse remains the most common initial access vector (22% of breaches), and the SpyCloud Annual Identity Exposure Report (2025) confirms the scale of the underlying problem: over 750 million credentials were exposed in the past year, with infostealer malware responsible for a growing share. Session hijacking, credential stuffing, and infostealer malware represent the fastest-growing attack categories across all web platforms.</w:t>
      </w:r>
    </w:p>
    <w:bookmarkStart w:id="57"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two-factor</w:t>
      </w:r>
      <w:r>
        <w:t xml:space="preserve"> </w:t>
      </w:r>
      <w:r>
        <w:t xml:space="preserve">for operational consistency across environments, unless an approved equivalent is required by platform constraints.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p>
      <w:pPr>
        <w:pStyle w:val="BlockText"/>
      </w:pPr>
      <w:r>
        <w:t xml:space="preserve">For the operational procedure to install, configure, verify, and provide emergency recovery for the</w:t>
      </w:r>
      <w:r>
        <w:t xml:space="preserve"> </w:t>
      </w:r>
      <w:r>
        <w:rPr>
          <w:rStyle w:val="VerbatimChar"/>
        </w:rPr>
        <w:t xml:space="preserve">two-factor</w:t>
      </w:r>
      <w:r>
        <w:t xml:space="preserve"> </w:t>
      </w:r>
      <w:r>
        <w:t xml:space="preserve">plugin via WP-CLI, see</w:t>
      </w:r>
      <w:r>
        <w:t xml:space="preserve"> </w:t>
      </w:r>
      <w:hyperlink r:id="rId56">
        <w:r>
          <w:rPr>
            <w:rStyle w:val="Hyperlink"/>
          </w:rPr>
          <w:t xml:space="preserve">WordPress Operations Runbook</w:t>
        </w:r>
      </w:hyperlink>
      <w:r>
        <w:t xml:space="preserve"> </w:t>
      </w:r>
      <w:r>
        <w:t xml:space="preserve">§5.5.</w:t>
      </w:r>
    </w:p>
    <w:bookmarkEnd w:id="57"/>
    <w:bookmarkStart w:id="58" w:name="privileged-action-gating"/>
    <w:p>
      <w:pPr>
        <w:pStyle w:val="Heading3"/>
      </w:pPr>
      <w:r>
        <w:t xml:space="preserve">8.2 Privileged Action Gating</w:t>
      </w:r>
    </w:p>
    <w:p>
      <w:pPr>
        <w:pStyle w:val="FirstParagraph"/>
      </w:pPr>
      <w:r>
        <w:t xml:space="preserve">Enterprise environments should implement action-gated reauthentication for high-risk operations. (Also known as</w:t>
      </w:r>
      <w:r>
        <w:t xml:space="preserve"> </w:t>
      </w:r>
      <w:r>
        <w:t xml:space="preserve">“sudo mode.”</w:t>
      </w:r>
      <w:r>
        <w:t xml:space="preserve"> </w:t>
      </w:r>
      <w:r>
        <w:t xml:space="preserve">See the</w:t>
      </w:r>
      <w:r>
        <w:t xml:space="preserve"> </w:t>
      </w:r>
      <w:hyperlink r:id="rId47">
        <w:r>
          <w:rPr>
            <w:rStyle w:val="Hyperlink"/>
          </w:rPr>
          <w:t xml:space="preserve">WordPress Security Style Guide</w:t>
        </w:r>
      </w:hyperlink>
      <w:r>
        <w:t xml:space="preserve"> </w:t>
      </w:r>
      <w:r>
        <w:t xml:space="preserve">Glossary for the formal definition and usage guidance.)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8"/>
    <w:bookmarkStart w:id="59" w:name="password-policy"/>
    <w:p>
      <w:pPr>
        <w:pStyle w:val="Heading3"/>
      </w:pPr>
      <w:r>
        <w:t xml:space="preserve">8.3 Password Policy</w:t>
      </w:r>
    </w:p>
    <w:p>
      <w:pPr>
        <w:pStyle w:val="Compact"/>
        <w:numPr>
          <w:ilvl w:val="0"/>
          <w:numId w:val="1014"/>
        </w:numPr>
      </w:pPr>
      <w:r>
        <w:t xml:space="preserve">Enforce strong passwords of at least 12 characters, following NIST SP 800-63B guidelines.</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59"/>
    <w:bookmarkStart w:id="60"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60"/>
    <w:bookmarkStart w:id="61"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a must-use plugin rather than the database, making them resistant to SQLi attacks and privilege escalation. (The WordPress roles API is not available during</w:t>
      </w:r>
      <w:r>
        <w:t xml:space="preserve"> </w:t>
      </w:r>
      <w:r>
        <w:rPr>
          <w:rStyle w:val="VerbatimChar"/>
        </w:rPr>
        <w:t xml:space="preserve">wp-config.php</w:t>
      </w:r>
      <w:r>
        <w:t xml:space="preserve"> </w:t>
      </w:r>
      <w:r>
        <w:t xml:space="preserve">loading — roles must be registered on the</w:t>
      </w:r>
      <w:r>
        <w:t xml:space="preserve"> </w:t>
      </w:r>
      <w:r>
        <w:rPr>
          <w:rStyle w:val="VerbatimChar"/>
        </w:rPr>
        <w:t xml:space="preserve">init</w:t>
      </w:r>
      <w:r>
        <w:t xml:space="preserve"> </w:t>
      </w:r>
      <w:r>
        <w:t xml:space="preserve">hook or later.)</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61"/>
    <w:bookmarkEnd w:id="62"/>
    <w:bookmarkStart w:id="66" w:name="security-plugins-and-monitoring"/>
    <w:p>
      <w:pPr>
        <w:pStyle w:val="Heading2"/>
      </w:pPr>
      <w:r>
        <w:t xml:space="preserve">9. Security Plugins and Monitoring</w:t>
      </w:r>
    </w:p>
    <w:bookmarkStart w:id="63"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3"/>
    <w:bookmarkStart w:id="64"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4"/>
    <w:bookmarkStart w:id="65"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5"/>
    <w:bookmarkEnd w:id="66"/>
    <w:bookmarkStart w:id="67"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7"/>
    <w:bookmarkStart w:id="72"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8"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p>
      <w:pPr>
        <w:pStyle w:val="BlockText"/>
      </w:pPr>
      <w:r>
        <w:t xml:space="preserve">The</w:t>
      </w:r>
      <w:r>
        <w:t xml:space="preserve"> </w:t>
      </w:r>
      <w:hyperlink r:id="rId43">
        <w:r>
          <w:rPr>
            <w:rStyle w:val="Hyperlink"/>
          </w:rPr>
          <w:t xml:space="preserve">WordPress Security Benchmark</w:t>
        </w:r>
      </w:hyperlink>
      <w:r>
        <w:t xml:space="preserve"> </w:t>
      </w:r>
      <w:r>
        <w:t xml:space="preserve">§8.4 provides an auditable control for SBOM maintenance, including tooling recommendations and CI/CD integration guidance.</w:t>
      </w:r>
    </w:p>
    <w:bookmarkEnd w:id="68"/>
    <w:bookmarkStart w:id="69"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69"/>
    <w:bookmarkStart w:id="70"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70"/>
    <w:bookmarkStart w:id="71"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71"/>
    <w:bookmarkEnd w:id="72"/>
    <w:bookmarkStart w:id="79"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3"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3"/>
    <w:bookmarkStart w:id="74"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4"/>
    <w:bookmarkStart w:id="76"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w:t>
      </w:r>
      <w:r>
        <w:t xml:space="preserve"> </w:t>
      </w:r>
      <w:hyperlink r:id="rId75">
        <w:r>
          <w:rPr>
            <w:rStyle w:val="Hyperlink"/>
          </w:rPr>
          <w:t xml:space="preserve">NIST SP 800-61r3</w:t>
        </w:r>
      </w:hyperlink>
      <w:r>
        <w:t xml:space="preserve"> </w:t>
      </w:r>
      <w:r>
        <w:t xml:space="preserve">(Section 3 provides the core incident handling lifecycle):</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p>
      <w:pPr>
        <w:pStyle w:val="BlockText"/>
      </w:pPr>
      <w:r>
        <w:t xml:space="preserve">For hands-on-keyboard procedures implementing each phase of this lifecycle — containment commands, forensic artifact capture, malware scanning, credential reset, and recovery validation — see</w:t>
      </w:r>
      <w:r>
        <w:t xml:space="preserve"> </w:t>
      </w:r>
      <w:hyperlink r:id="rId56">
        <w:r>
          <w:rPr>
            <w:rStyle w:val="Hyperlink"/>
          </w:rPr>
          <w:t xml:space="preserve">WordPress Operations Runbook</w:t>
        </w:r>
      </w:hyperlink>
      <w:r>
        <w:t xml:space="preserve"> </w:t>
      </w:r>
      <w:r>
        <w:t xml:space="preserve">§10.3 and §10.4.</w:t>
      </w:r>
    </w:p>
    <w:bookmarkEnd w:id="76"/>
    <w:bookmarkStart w:id="77" w:name="building-a-security-first-culture"/>
    <w:p>
      <w:pPr>
        <w:pStyle w:val="Heading3"/>
      </w:pPr>
      <w:r>
        <w:t xml:space="preserve">12.4 Building a Security-First Culture</w:t>
      </w:r>
    </w:p>
    <w:p>
      <w:pPr>
        <w:pStyle w:val="FirstParagraph"/>
      </w:pPr>
      <w:r>
        <w:t xml:space="preserve">Industry analysts (Gartner Security and Risk Management Summit, 2024) emphasize that third-party breaches are inevitable and that organizations should prioritize resilience over prevention alone. IBM’s Cost of a Data Breach Report (2025) provides the supporting data: 65% of breached organizations reported they had not fully recovered. Organizations should focus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7"/>
    <w:bookmarkStart w:id="78"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8"/>
    <w:bookmarkEnd w:id="79"/>
    <w:bookmarkStart w:id="80"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 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80"/>
    <w:bookmarkStart w:id="84"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81"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81"/>
    <w:bookmarkStart w:id="82"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(distinct from the 16% of breaches involving attacker AI use in Section 14.1),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82"/>
    <w:bookmarkStart w:id="83" w:name="securing-ai-integrations-in-wordpress"/>
    <w:p>
      <w:pPr>
        <w:pStyle w:val="Heading3"/>
      </w:pPr>
      <w:r>
        <w:t xml:space="preserve">14.3 Securing AI Integrations in WordPress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3"/>
    <w:bookmarkEnd w:id="84"/>
    <w:bookmarkStart w:id="108" w:name="additional-resources"/>
    <w:p>
      <w:pPr>
        <w:pStyle w:val="Heading2"/>
      </w:pPr>
      <w:r>
        <w:t xml:space="preserve">15. Additional Resources</w:t>
      </w:r>
    </w:p>
    <w:bookmarkStart w:id="89" w:name="wordpress-security-documentation"/>
    <w:p>
      <w:pPr>
        <w:pStyle w:val="Heading3"/>
      </w:pPr>
      <w:r>
        <w:t xml:space="preserve">15.1 WordPress Security Documentation</w:t>
      </w:r>
    </w:p>
    <w:p>
      <w:pPr>
        <w:pStyle w:val="Compact"/>
        <w:numPr>
          <w:ilvl w:val="0"/>
          <w:numId w:val="1031"/>
        </w:numPr>
      </w:pPr>
      <w:hyperlink r:id="rId85">
        <w:r>
          <w:rPr>
            <w:rStyle w:val="Hyperlink"/>
          </w:rPr>
          <w:t xml:space="preserve">Hardening WordPress — Advanced Administration Handbook</w:t>
        </w:r>
      </w:hyperlink>
    </w:p>
    <w:p>
      <w:pPr>
        <w:pStyle w:val="Compact"/>
        <w:numPr>
          <w:ilvl w:val="0"/>
          <w:numId w:val="1031"/>
        </w:numPr>
      </w:pPr>
      <w:hyperlink r:id="rId22">
        <w:r>
          <w:rPr>
            <w:rStyle w:val="Hyperlink"/>
          </w:rPr>
          <w:t xml:space="preserve">WordPress Security White Paper</w:t>
        </w:r>
      </w:hyperlink>
      <w:r>
        <w:t xml:space="preserve"> </w:t>
      </w:r>
      <w:r>
        <w:t xml:space="preserve">(</w:t>
      </w:r>
      <w:hyperlink r:id="rId86">
        <w:r>
          <w:rPr>
            <w:rStyle w:val="Hyperlink"/>
          </w:rPr>
          <w:t xml:space="preserve">source</w:t>
        </w:r>
      </w:hyperlink>
      <w:r>
        <w:t xml:space="preserve">)</w:t>
      </w:r>
    </w:p>
    <w:p>
      <w:pPr>
        <w:pStyle w:val="Compact"/>
        <w:numPr>
          <w:ilvl w:val="0"/>
          <w:numId w:val="1031"/>
        </w:numPr>
      </w:pPr>
      <w:hyperlink r:id="rId87">
        <w:r>
          <w:rPr>
            <w:rStyle w:val="Hyperlink"/>
          </w:rPr>
          <w:t xml:space="preserve">Brute Force Attacks (developer.wordpress.org)</w:t>
        </w:r>
      </w:hyperlink>
    </w:p>
    <w:p>
      <w:pPr>
        <w:pStyle w:val="Compact"/>
        <w:numPr>
          <w:ilvl w:val="0"/>
          <w:numId w:val="1031"/>
        </w:numPr>
      </w:pPr>
      <w:hyperlink r:id="rId88">
        <w:r>
          <w:rPr>
            <w:rStyle w:val="Hyperlink"/>
          </w:rPr>
          <w:t xml:space="preserve">WordPress VIP Security Best Practices</w:t>
        </w:r>
      </w:hyperlink>
    </w:p>
    <w:bookmarkEnd w:id="89"/>
    <w:bookmarkStart w:id="98" w:name="threat-intelligence-and-industry-reports"/>
    <w:p>
      <w:pPr>
        <w:pStyle w:val="Heading3"/>
      </w:pPr>
      <w:r>
        <w:t xml:space="preserve">15.2 Threat Intelligence and Industry Reports</w:t>
      </w:r>
    </w:p>
    <w:p>
      <w:pPr>
        <w:pStyle w:val="Compact"/>
        <w:numPr>
          <w:ilvl w:val="0"/>
          <w:numId w:val="1032"/>
        </w:numPr>
      </w:pPr>
      <w:hyperlink r:id="rId90">
        <w:r>
          <w:rPr>
            <w:rStyle w:val="Hyperlink"/>
          </w:rPr>
          <w:t xml:space="preserve">OWASP Top 10:2025 Web Application Security Risks</w:t>
        </w:r>
      </w:hyperlink>
    </w:p>
    <w:p>
      <w:pPr>
        <w:pStyle w:val="Compact"/>
        <w:numPr>
          <w:ilvl w:val="0"/>
          <w:numId w:val="1032"/>
        </w:numPr>
      </w:pPr>
      <w:hyperlink r:id="rId91">
        <w:r>
          <w:rPr>
            <w:rStyle w:val="Hyperlink"/>
          </w:rPr>
          <w:t xml:space="preserve">Patchstack State of WordPress Security (annual whitepaper)</w:t>
        </w:r>
      </w:hyperlink>
    </w:p>
    <w:p>
      <w:pPr>
        <w:pStyle w:val="Compact"/>
        <w:numPr>
          <w:ilvl w:val="0"/>
          <w:numId w:val="1032"/>
        </w:numPr>
      </w:pPr>
      <w:hyperlink r:id="rId92">
        <w:r>
          <w:rPr>
            <w:rStyle w:val="Hyperlink"/>
          </w:rPr>
          <w:t xml:space="preserve">Wordfence Annual WordPress Security Report</w:t>
        </w:r>
      </w:hyperlink>
    </w:p>
    <w:p>
      <w:pPr>
        <w:pStyle w:val="Compact"/>
        <w:numPr>
          <w:ilvl w:val="0"/>
          <w:numId w:val="1032"/>
        </w:numPr>
      </w:pPr>
      <w:hyperlink r:id="rId93">
        <w:r>
          <w:rPr>
            <w:rStyle w:val="Hyperlink"/>
          </w:rPr>
          <w:t xml:space="preserve">Sucuri Website Threat Research Report</w:t>
        </w:r>
      </w:hyperlink>
    </w:p>
    <w:p>
      <w:pPr>
        <w:pStyle w:val="Compact"/>
        <w:numPr>
          <w:ilvl w:val="0"/>
          <w:numId w:val="1032"/>
        </w:numPr>
      </w:pPr>
      <w:hyperlink r:id="rId94">
        <w:r>
          <w:rPr>
            <w:rStyle w:val="Hyperlink"/>
          </w:rPr>
          <w:t xml:space="preserve">Verizon Data Breach Investigations Report</w:t>
        </w:r>
      </w:hyperlink>
    </w:p>
    <w:p>
      <w:pPr>
        <w:pStyle w:val="Compact"/>
        <w:numPr>
          <w:ilvl w:val="0"/>
          <w:numId w:val="1032"/>
        </w:numPr>
      </w:pPr>
      <w:hyperlink r:id="rId95">
        <w:r>
          <w:rPr>
            <w:rStyle w:val="Hyperlink"/>
          </w:rPr>
          <w:t xml:space="preserve">IBM X-Force Threat Intelligence Index</w:t>
        </w:r>
      </w:hyperlink>
    </w:p>
    <w:p>
      <w:pPr>
        <w:pStyle w:val="Compact"/>
        <w:numPr>
          <w:ilvl w:val="0"/>
          <w:numId w:val="1032"/>
        </w:numPr>
      </w:pPr>
      <w:hyperlink r:id="rId96">
        <w:r>
          <w:rPr>
            <w:rStyle w:val="Hyperlink"/>
          </w:rPr>
          <w:t xml:space="preserve">IBM Cost of a Data Breach Report</w:t>
        </w:r>
      </w:hyperlink>
    </w:p>
    <w:p>
      <w:pPr>
        <w:pStyle w:val="Compact"/>
        <w:numPr>
          <w:ilvl w:val="0"/>
          <w:numId w:val="1032"/>
        </w:numPr>
      </w:pPr>
      <w:hyperlink r:id="rId97">
        <w:r>
          <w:rPr>
            <w:rStyle w:val="Hyperlink"/>
          </w:rPr>
          <w:t xml:space="preserve">CISA Known Exploited Vulnerabilities Catalog</w:t>
        </w:r>
      </w:hyperlink>
    </w:p>
    <w:bookmarkEnd w:id="98"/>
    <w:bookmarkStart w:id="102" w:name="standards-and-frameworks"/>
    <w:p>
      <w:pPr>
        <w:pStyle w:val="Heading3"/>
      </w:pPr>
      <w:r>
        <w:t xml:space="preserve">15.3 Standards and Frameworks</w:t>
      </w:r>
    </w:p>
    <w:p>
      <w:pPr>
        <w:pStyle w:val="Compact"/>
        <w:numPr>
          <w:ilvl w:val="0"/>
          <w:numId w:val="1033"/>
        </w:numPr>
      </w:pPr>
      <w:hyperlink r:id="rId99">
        <w:r>
          <w:rPr>
            <w:rStyle w:val="Hyperlink"/>
          </w:rPr>
          <w:t xml:space="preserve">NIST SP 800-63B: Digital Identity Guidelines — Authentication (Revision 4)</w:t>
        </w:r>
      </w:hyperlink>
    </w:p>
    <w:p>
      <w:pPr>
        <w:pStyle w:val="Compact"/>
        <w:numPr>
          <w:ilvl w:val="0"/>
          <w:numId w:val="1033"/>
        </w:numPr>
      </w:pPr>
      <w:hyperlink r:id="rId75">
        <w:r>
          <w:rPr>
            <w:rStyle w:val="Hyperlink"/>
          </w:rPr>
          <w:t xml:space="preserve">NIST SP 800-61r3: Incident Response Recommendations and Considerations</w:t>
        </w:r>
      </w:hyperlink>
    </w:p>
    <w:p>
      <w:pPr>
        <w:pStyle w:val="Compact"/>
        <w:numPr>
          <w:ilvl w:val="0"/>
          <w:numId w:val="1033"/>
        </w:numPr>
      </w:pPr>
      <w:hyperlink r:id="rId100">
        <w:r>
          <w:rPr>
            <w:rStyle w:val="Hyperlink"/>
          </w:rPr>
          <w:t xml:space="preserve">CIS Benchmarks</w:t>
        </w:r>
      </w:hyperlink>
    </w:p>
    <w:p>
      <w:pPr>
        <w:pStyle w:val="Compact"/>
        <w:numPr>
          <w:ilvl w:val="0"/>
          <w:numId w:val="1033"/>
        </w:numPr>
      </w:pPr>
      <w:hyperlink r:id="rId101">
        <w:r>
          <w:rPr>
            <w:rStyle w:val="Hyperlink"/>
          </w:rPr>
          <w:t xml:space="preserve">ISO/IEC 27000: Information Security Management</w:t>
        </w:r>
      </w:hyperlink>
    </w:p>
    <w:bookmarkEnd w:id="102"/>
    <w:bookmarkStart w:id="105" w:name="X00fc8c82620e041623f6fee31e62d29d538d53d"/>
    <w:p>
      <w:pPr>
        <w:pStyle w:val="Heading3"/>
      </w:pPr>
      <w:r>
        <w:t xml:space="preserve">15.4 Security Culture and Organizational Practices</w:t>
      </w:r>
    </w:p>
    <w:p>
      <w:pPr>
        <w:pStyle w:val="Compact"/>
        <w:numPr>
          <w:ilvl w:val="0"/>
          <w:numId w:val="1034"/>
        </w:numPr>
      </w:pPr>
      <w:hyperlink r:id="rId103">
        <w:r>
          <w:rPr>
            <w:rStyle w:val="Hyperlink"/>
          </w:rPr>
          <w:t xml:space="preserve">KnowBe4: Security Culture</w:t>
        </w:r>
      </w:hyperlink>
    </w:p>
    <w:p>
      <w:pPr>
        <w:pStyle w:val="Compact"/>
        <w:numPr>
          <w:ilvl w:val="0"/>
          <w:numId w:val="1034"/>
        </w:numPr>
      </w:pPr>
      <w:hyperlink r:id="rId104">
        <w:r>
          <w:rPr>
            <w:rStyle w:val="Hyperlink"/>
          </w:rPr>
          <w:t xml:space="preserve">NIST: Users Are Not Stupid — Six Cyber Security Pitfalls Overturned</w:t>
        </w:r>
      </w:hyperlink>
    </w:p>
    <w:bookmarkEnd w:id="105"/>
    <w:bookmarkStart w:id="106"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06"/>
    <w:bookmarkStart w:id="107"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 process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07"/>
    <w:bookmarkEnd w:id="108"/>
    <w:bookmarkStart w:id="109" w:name="related-documents"/>
    <w:p>
      <w:pPr>
        <w:pStyle w:val="Heading2"/>
      </w:pPr>
      <w:r>
        <w:t xml:space="preserve">Related Documents</w:t>
      </w:r>
    </w:p>
    <w:p>
      <w:pPr>
        <w:pStyle w:val="Compact"/>
        <w:numPr>
          <w:ilvl w:val="0"/>
          <w:numId w:val="1036"/>
        </w:numPr>
      </w:pPr>
      <w:hyperlink r:id="rId43">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4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hyperlink r:id="rId56">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2">
        <w:r>
          <w:rPr>
            <w:rStyle w:val="Hyperlink"/>
          </w:rPr>
          <w:t xml:space="preserve">wordpress.org/about/security/</w:t>
        </w:r>
      </w:hyperlink>
      <w:r>
        <w:t xml:space="preserve"> </w:t>
      </w:r>
      <w:r>
        <w:t xml:space="preserve">(</w:t>
      </w:r>
      <w:hyperlink r:id="rId86">
        <w:r>
          <w:rPr>
            <w:rStyle w:val="Hyperlink"/>
          </w:rPr>
          <w:t xml:space="preserve">source repository</w:t>
        </w:r>
      </w:hyperlink>
      <w:r>
        <w:t xml:space="preserve">).</w:t>
      </w:r>
    </w:p>
    <w:bookmarkEnd w:id="109"/>
    <w:bookmarkStart w:id="111" w:name="license-and-attribution"/>
    <w:p>
      <w:pPr>
        <w:pStyle w:val="Heading2"/>
      </w:pPr>
      <w:r>
        <w:t xml:space="preserve">License and Attribution</w:t>
      </w:r>
    </w:p>
    <w:p>
      <w:pPr>
        <w:pStyle w:val="FirstParagraph"/>
      </w:pPr>
      <w:r>
        <w:t xml:space="preserve">This document is licensed under the</w:t>
      </w:r>
      <w:r>
        <w:t xml:space="preserve"> </w:t>
      </w:r>
      <w:hyperlink r:id="rId110">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0" Target="https://creativecommons.org/licenses/by-sa/4.0/" TargetMode="External" /><Relationship Type="http://schemas.openxmlformats.org/officeDocument/2006/relationships/hyperlink" Id="rId75" Target="https://csrc.nist.gov/pubs/sp/800/61/r3/final" TargetMode="External" /><Relationship Type="http://schemas.openxmlformats.org/officeDocument/2006/relationships/hyperlink" Id="rId87" Target="https://developer.wordpress.org/advanced-administration/security/brute-force/" TargetMode="External" /><Relationship Type="http://schemas.openxmlformats.org/officeDocument/2006/relationships/hyperlink" Id="rId85" Target="https://developer.wordpress.org/advanced-administration/security/hardening/" TargetMode="External" /><Relationship Type="http://schemas.openxmlformats.org/officeDocument/2006/relationships/hyperlink" Id="rId88" Target="https://docs.wpvip.com/security/" TargetMode="External" /><Relationship Type="http://schemas.openxmlformats.org/officeDocument/2006/relationships/hyperlink" Id="rId86"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0" Target="https://owasp.org/Top10/2025/" TargetMode="External" /><Relationship Type="http://schemas.openxmlformats.org/officeDocument/2006/relationships/hyperlink" Id="rId99" Target="https://pages.nist.gov/800-63-4/sp800-63b.html" TargetMode="External" /><Relationship Type="http://schemas.openxmlformats.org/officeDocument/2006/relationships/hyperlink" Id="rId91" Target="https://patchstack.com/whitepaper/" TargetMode="External" /><Relationship Type="http://schemas.openxmlformats.org/officeDocument/2006/relationships/hyperlink" Id="rId93"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7" Target="https://www.cisa.gov/known-exploited-vulnerabilities-catalog" TargetMode="External" /><Relationship Type="http://schemas.openxmlformats.org/officeDocument/2006/relationships/hyperlink" Id="rId100" Target="https://www.cisecurity.org/cis-benchmarks" TargetMode="External" /><Relationship Type="http://schemas.openxmlformats.org/officeDocument/2006/relationships/hyperlink" Id="rId96" Target="https://www.ibm.com/reports/data-breach" TargetMode="External" /><Relationship Type="http://schemas.openxmlformats.org/officeDocument/2006/relationships/hyperlink" Id="rId95" Target="https://www.ibm.com/reports/threat-intelligence" TargetMode="External" /><Relationship Type="http://schemas.openxmlformats.org/officeDocument/2006/relationships/hyperlink" Id="rId101" Target="https://www.iso.org/standard/73906.html" TargetMode="External" /><Relationship Type="http://schemas.openxmlformats.org/officeDocument/2006/relationships/hyperlink" Id="rId103" Target="https://www.knowbe4.com/security-culture" TargetMode="External" /><Relationship Type="http://schemas.openxmlformats.org/officeDocument/2006/relationships/hyperlink" Id="rId104" Target="https://www.nist.gov/" TargetMode="External" /><Relationship Type="http://schemas.openxmlformats.org/officeDocument/2006/relationships/hyperlink" Id="rId94" Target="https://www.verizon.com/business/resources/reports/dbir/" TargetMode="External" /><Relationship Type="http://schemas.openxmlformats.org/officeDocument/2006/relationships/hyperlink" Id="rId92"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10" Target="https://creativecommons.org/licenses/by-sa/4.0/" TargetMode="External" /><Relationship Type="http://schemas.openxmlformats.org/officeDocument/2006/relationships/hyperlink" Id="rId75" Target="https://csrc.nist.gov/pubs/sp/800/61/r3/final" TargetMode="External" /><Relationship Type="http://schemas.openxmlformats.org/officeDocument/2006/relationships/hyperlink" Id="rId87" Target="https://developer.wordpress.org/advanced-administration/security/brute-force/" TargetMode="External" /><Relationship Type="http://schemas.openxmlformats.org/officeDocument/2006/relationships/hyperlink" Id="rId85" Target="https://developer.wordpress.org/advanced-administration/security/hardening/" TargetMode="External" /><Relationship Type="http://schemas.openxmlformats.org/officeDocument/2006/relationships/hyperlink" Id="rId88" Target="https://docs.wpvip.com/security/" TargetMode="External" /><Relationship Type="http://schemas.openxmlformats.org/officeDocument/2006/relationships/hyperlink" Id="rId86"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0" Target="https://owasp.org/Top10/2025/" TargetMode="External" /><Relationship Type="http://schemas.openxmlformats.org/officeDocument/2006/relationships/hyperlink" Id="rId99" Target="https://pages.nist.gov/800-63-4/sp800-63b.html" TargetMode="External" /><Relationship Type="http://schemas.openxmlformats.org/officeDocument/2006/relationships/hyperlink" Id="rId91" Target="https://patchstack.com/whitepaper/" TargetMode="External" /><Relationship Type="http://schemas.openxmlformats.org/officeDocument/2006/relationships/hyperlink" Id="rId93"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7" Target="https://www.cisa.gov/known-exploited-vulnerabilities-catalog" TargetMode="External" /><Relationship Type="http://schemas.openxmlformats.org/officeDocument/2006/relationships/hyperlink" Id="rId100" Target="https://www.cisecurity.org/cis-benchmarks" TargetMode="External" /><Relationship Type="http://schemas.openxmlformats.org/officeDocument/2006/relationships/hyperlink" Id="rId96" Target="https://www.ibm.com/reports/data-breach" TargetMode="External" /><Relationship Type="http://schemas.openxmlformats.org/officeDocument/2006/relationships/hyperlink" Id="rId95" Target="https://www.ibm.com/reports/threat-intelligence" TargetMode="External" /><Relationship Type="http://schemas.openxmlformats.org/officeDocument/2006/relationships/hyperlink" Id="rId101" Target="https://www.iso.org/standard/73906.html" TargetMode="External" /><Relationship Type="http://schemas.openxmlformats.org/officeDocument/2006/relationships/hyperlink" Id="rId103" Target="https://www.knowbe4.com/security-culture" TargetMode="External" /><Relationship Type="http://schemas.openxmlformats.org/officeDocument/2006/relationships/hyperlink" Id="rId104" Target="https://www.nist.gov/" TargetMode="External" /><Relationship Type="http://schemas.openxmlformats.org/officeDocument/2006/relationships/hyperlink" Id="rId94" Target="https://www.verizon.com/business/resources/reports/dbir/" TargetMode="External" /><Relationship Type="http://schemas.openxmlformats.org/officeDocument/2006/relationships/hyperlink" Id="rId92"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General Editor: Dan Knauss.</dc:creator>
  <cp:keywords/>
  <dcterms:created xsi:type="dcterms:W3CDTF">2026-03-08T18:11:41Z</dcterms:created>
  <dcterms:modified xsi:type="dcterms:W3CDTF">2026-03-08T18:11:41Z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8, 2026</vt:lpwstr>
  </property>
  <property fmtid="{D5CDD505-2E9C-101B-9397-08002B2CF9AE}" pid="3" name="subtitle">
    <vt:lpwstr>Enterprise Best Practices and Threat Mitigation</vt:lpwstr>
  </property>
  <property fmtid="{D5CDD505-2E9C-101B-9397-08002B2CF9AE}" pid="4" name="version">
    <vt:lpwstr>1.0</vt:lpwstr>
  </property>
</Properties>
</file>