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WordPress is a free and open-source content management system (CMS) licensed under the GNU General Public License (GPLv2 or later). It is the most widely used digital publishing platform in the world, from entry-level to enterprise market segments. WordPress powers more than 43% of the top 10 million websites on the internet and holds a 63% CMS market share (W3Techs, September 2025) overall. Its extensibility, combined with a vast and mature development ecosystem, makes it a popular choice for organizations of all sizes.</w:t>
      </w:r>
    </w:p>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8"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has undergone continuous security hardening since 2003.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WordPress Security Team comprises approximately 50 experts, including lead developers and security researchers, some of whom are Automattic employees (see</w:t>
      </w:r>
      <w:r>
        <w:t xml:space="preserve"> </w:t>
      </w:r>
      <w:hyperlink r:id="rId22">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3">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4"/>
    <w:bookmarkStart w:id="25"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5"/>
    <w:bookmarkStart w:id="26"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6"/>
    <w:bookmarkStart w:id="27"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7"/>
    <w:bookmarkEnd w:id="28"/>
    <w:bookmarkStart w:id="39"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29"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29"/>
    <w:bookmarkStart w:id="30"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0"/>
    <w:bookmarkStart w:id="31"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1"/>
    <w:bookmarkStart w:id="32"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2"/>
    <w:bookmarkStart w:id="33"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3"/>
    <w:bookmarkStart w:id="34"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4"/>
    <w:bookmarkStart w:id="35"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5"/>
    <w:bookmarkStart w:id="36"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6"/>
    <w:bookmarkStart w:id="37"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7"/>
    <w:bookmarkStart w:id="38"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8"/>
    <w:bookmarkEnd w:id="39"/>
    <w:bookmarkStart w:id="41"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0"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0"/>
    <w:bookmarkEnd w:id="41"/>
    <w:bookmarkStart w:id="46"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2"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2"/>
    <w:bookmarkStart w:id="43"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3"/>
    <w:bookmarkStart w:id="44"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4"/>
    <w:bookmarkStart w:id="45"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5"/>
    <w:bookmarkEnd w:id="46"/>
    <w:bookmarkStart w:id="51" w:name="wordpress-application-hardening"/>
    <w:p>
      <w:pPr>
        <w:pStyle w:val="Heading2"/>
      </w:pPr>
      <w:r>
        <w:t xml:space="preserve">7. WordPress Application Hardening</w:t>
      </w:r>
    </w:p>
    <w:bookmarkStart w:id="47"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7"/>
    <w:bookmarkStart w:id="48" w:name="disable-unused-features"/>
    <w:p>
      <w:pPr>
        <w:pStyle w:val="Heading3"/>
      </w:pPr>
      <w:r>
        <w:t xml:space="preserve">7.2 Disable Unused Features</w:t>
      </w:r>
    </w:p>
    <w:p>
      <w:pPr>
        <w:numPr>
          <w:ilvl w:val="0"/>
          <w:numId w:val="1008"/>
        </w:numPr>
      </w:pPr>
      <w:r>
        <w:t xml:space="preserve">Disable XML-RPC if not required (common attack vector for brute-force amplification).</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8"/>
    <w:bookmarkStart w:id="49"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49"/>
    <w:bookmarkStart w:id="50"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0"/>
    <w:bookmarkEnd w:id="51"/>
    <w:bookmarkStart w:id="57"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2" w:name="multi-factor-authentication"/>
    <w:p>
      <w:pPr>
        <w:pStyle w:val="Heading3"/>
      </w:pPr>
      <w:r>
        <w:t xml:space="preserve">8.1 Multi-Factor Authentication</w:t>
      </w:r>
    </w:p>
    <w:p>
      <w:pPr>
        <w:numPr>
          <w:ilvl w:val="0"/>
          <w:numId w:val="1011"/>
        </w:numPr>
      </w:pPr>
      <w:r>
        <w:t xml:space="preserve">Require multi-factor authentication (MFA) or two-factor authentication (2FA) for all administrator and editor accounts.</w:t>
      </w:r>
    </w:p>
    <w:p>
      <w:pPr>
        <w:numPr>
          <w:ilvl w:val="0"/>
          <w:numId w:val="1011"/>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1"/>
        </w:numPr>
      </w:pPr>
      <w:r>
        <w:t xml:space="preserve">Do not use SMS-based 2FA, as it is vulnerable to SIM-swapping attacks.</w:t>
      </w:r>
    </w:p>
    <w:p>
      <w:pPr>
        <w:numPr>
          <w:ilvl w:val="0"/>
          <w:numId w:val="1011"/>
        </w:numPr>
      </w:pPr>
      <w:r>
        <w:t xml:space="preserve">Ensure 2FA secrets are encrypted at rest in the database.</w:t>
      </w:r>
    </w:p>
    <w:p>
      <w:pPr>
        <w:numPr>
          <w:ilvl w:val="0"/>
          <w:numId w:val="1011"/>
        </w:numPr>
      </w:pPr>
      <w:r>
        <w:t xml:space="preserve">Encourage all users, including contributors and subscribers, to enable 2FA.</w:t>
      </w:r>
    </w:p>
    <w:bookmarkEnd w:id="52"/>
    <w:bookmarkStart w:id="53"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3"/>
    <w:bookmarkStart w:id="54" w:name="password-policy"/>
    <w:p>
      <w:pPr>
        <w:pStyle w:val="Heading3"/>
      </w:pPr>
      <w:r>
        <w:t xml:space="preserve">8.3 Password Policy</w:t>
      </w:r>
    </w:p>
    <w:p>
      <w:pPr>
        <w:pStyle w:val="Compact"/>
        <w:numPr>
          <w:ilvl w:val="0"/>
          <w:numId w:val="1012"/>
        </w:numPr>
      </w:pPr>
      <w:r>
        <w:t xml:space="preserve">Enforce strong passwords of at least 12 characters, following NIST SP 800-63B guidelines.</w:t>
      </w:r>
    </w:p>
    <w:p>
      <w:pPr>
        <w:pStyle w:val="Compact"/>
        <w:numPr>
          <w:ilvl w:val="0"/>
          <w:numId w:val="1012"/>
        </w:numPr>
      </w:pPr>
      <w:r>
        <w:t xml:space="preserve">Block passwords found in known breach databases (e.g., Have I Been Pwned).</w:t>
      </w:r>
    </w:p>
    <w:p>
      <w:pPr>
        <w:pStyle w:val="Compact"/>
        <w:numPr>
          <w:ilvl w:val="0"/>
          <w:numId w:val="1012"/>
        </w:numPr>
      </w:pPr>
      <w:r>
        <w:t xml:space="preserve">Do not enforce arbitrary complexity rules (e.g., requiring special characters) that encourage predictable patterns; enforce length and entropy instead.</w:t>
      </w:r>
    </w:p>
    <w:p>
      <w:pPr>
        <w:pStyle w:val="Compact"/>
        <w:numPr>
          <w:ilvl w:val="0"/>
          <w:numId w:val="1012"/>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4"/>
    <w:bookmarkStart w:id="55" w:name="session-management"/>
    <w:p>
      <w:pPr>
        <w:pStyle w:val="Heading3"/>
      </w:pPr>
      <w:r>
        <w:t xml:space="preserve">8.4 Session Management</w:t>
      </w:r>
    </w:p>
    <w:p>
      <w:pPr>
        <w:pStyle w:val="Compact"/>
        <w:numPr>
          <w:ilvl w:val="0"/>
          <w:numId w:val="1013"/>
        </w:numPr>
      </w:pPr>
      <w:r>
        <w:t xml:space="preserve">Enforce short maximum session lifetimes (8–24 hours for privileged users).</w:t>
      </w:r>
    </w:p>
    <w:p>
      <w:pPr>
        <w:pStyle w:val="Compact"/>
        <w:numPr>
          <w:ilvl w:val="0"/>
          <w:numId w:val="1013"/>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3"/>
        </w:numPr>
      </w:pPr>
      <w:r>
        <w:t xml:space="preserve">Automatically terminate idle sessions after a defined inactivity period.</w:t>
      </w:r>
    </w:p>
    <w:p>
      <w:pPr>
        <w:pStyle w:val="Compact"/>
        <w:numPr>
          <w:ilvl w:val="0"/>
          <w:numId w:val="1013"/>
        </w:numPr>
      </w:pPr>
      <w:r>
        <w:t xml:space="preserve">Terminate all active sessions daily at scheduled times, or on role/permission changes.</w:t>
      </w:r>
    </w:p>
    <w:bookmarkEnd w:id="55"/>
    <w:bookmarkStart w:id="56"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4"/>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4"/>
        </w:numPr>
      </w:pPr>
      <w:r>
        <w:t xml:space="preserve">Create custom roles with only the capabilities each user group requires.</w:t>
      </w:r>
    </w:p>
    <w:p>
      <w:pPr>
        <w:pStyle w:val="Compact"/>
        <w:numPr>
          <w:ilvl w:val="0"/>
          <w:numId w:val="1014"/>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4"/>
        </w:numPr>
      </w:pPr>
      <w:r>
        <w:t xml:space="preserve">Restrict administrator capabilities such as file upload, plugin/theme installation, and code editing by default.</w:t>
      </w:r>
    </w:p>
    <w:p>
      <w:pPr>
        <w:pStyle w:val="Compact"/>
        <w:numPr>
          <w:ilvl w:val="0"/>
          <w:numId w:val="1014"/>
        </w:numPr>
      </w:pPr>
      <w:r>
        <w:t xml:space="preserve">Implement IP or device-based allowlists for privileged accounts where feasible.</w:t>
      </w:r>
    </w:p>
    <w:p>
      <w:pPr>
        <w:pStyle w:val="Compact"/>
        <w:numPr>
          <w:ilvl w:val="0"/>
          <w:numId w:val="1014"/>
        </w:numPr>
      </w:pPr>
      <w:r>
        <w:t xml:space="preserve">Adopt trusted device verification for accounts with elevated privileges.</w:t>
      </w:r>
    </w:p>
    <w:p>
      <w:pPr>
        <w:pStyle w:val="Compact"/>
        <w:numPr>
          <w:ilvl w:val="0"/>
          <w:numId w:val="1014"/>
        </w:numPr>
      </w:pPr>
      <w:r>
        <w:t xml:space="preserve">Immediately revoke access for departed employees and terminated third-party contractors.</w:t>
      </w:r>
    </w:p>
    <w:bookmarkEnd w:id="56"/>
    <w:bookmarkEnd w:id="57"/>
    <w:bookmarkStart w:id="61" w:name="security-plugins-and-monitoring"/>
    <w:p>
      <w:pPr>
        <w:pStyle w:val="Heading2"/>
      </w:pPr>
      <w:r>
        <w:t xml:space="preserve">9. Security Plugins and Monitoring</w:t>
      </w:r>
    </w:p>
    <w:bookmarkStart w:id="58" w:name="web-application-firewall"/>
    <w:p>
      <w:pPr>
        <w:pStyle w:val="Heading3"/>
      </w:pPr>
      <w:r>
        <w:t xml:space="preserve">9.1 Web Application Firewall</w:t>
      </w:r>
    </w:p>
    <w:p>
      <w:pPr>
        <w:pStyle w:val="FirstParagraph"/>
      </w:pPr>
      <w:r>
        <w:t xml:space="preserve">Deploy a WordPress-aware WAF that provides:</w:t>
      </w:r>
    </w:p>
    <w:p>
      <w:pPr>
        <w:numPr>
          <w:ilvl w:val="0"/>
          <w:numId w:val="1015"/>
        </w:numPr>
      </w:pPr>
      <w:r>
        <w:t xml:space="preserve">Real-time threat intelligence feeds and virtual patching.</w:t>
      </w:r>
    </w:p>
    <w:p>
      <w:pPr>
        <w:numPr>
          <w:ilvl w:val="0"/>
          <w:numId w:val="1015"/>
        </w:numPr>
      </w:pPr>
      <w:r>
        <w:t xml:space="preserve">Protection against common attack patterns (SQLi, XSS, CSRF, file inclusion).</w:t>
      </w:r>
    </w:p>
    <w:p>
      <w:pPr>
        <w:numPr>
          <w:ilvl w:val="0"/>
          <w:numId w:val="1015"/>
        </w:numPr>
      </w:pPr>
      <w:r>
        <w:t xml:space="preserve">Brute-force protection with intelligent rate limiting.</w:t>
      </w:r>
    </w:p>
    <w:p>
      <w:pPr>
        <w:numPr>
          <w:ilvl w:val="0"/>
          <w:numId w:val="1015"/>
        </w:numPr>
      </w:pPr>
      <w:r>
        <w:t xml:space="preserve">Bot detection and management.</w:t>
      </w:r>
    </w:p>
    <w:p>
      <w:pPr>
        <w:pStyle w:val="FirstParagraph"/>
      </w:pPr>
      <w:r>
        <w:t xml:space="preserve">Options include Patchstack, Wordfence, Sucuri, and Cloudflare (at the network edge).</w:t>
      </w:r>
    </w:p>
    <w:bookmarkEnd w:id="58"/>
    <w:bookmarkStart w:id="59" w:name="audit-logging"/>
    <w:p>
      <w:pPr>
        <w:pStyle w:val="Heading3"/>
      </w:pPr>
      <w:r>
        <w:t xml:space="preserve">9.2 Audit Logging</w:t>
      </w:r>
    </w:p>
    <w:p>
      <w:pPr>
        <w:numPr>
          <w:ilvl w:val="0"/>
          <w:numId w:val="1016"/>
        </w:numPr>
      </w:pPr>
      <w:r>
        <w:t xml:space="preserve">Install a comprehensive audit logging plugin (e.g., WP Activity Log) that records all user activity, including logins, content changes, plugin/theme modifications, and settings changes.</w:t>
      </w:r>
    </w:p>
    <w:p>
      <w:pPr>
        <w:numPr>
          <w:ilvl w:val="0"/>
          <w:numId w:val="1016"/>
        </w:numPr>
      </w:pPr>
      <w:r>
        <w:t xml:space="preserve">Retain logs for a period consistent with your organization’s compliance requirements.</w:t>
      </w:r>
    </w:p>
    <w:p>
      <w:pPr>
        <w:numPr>
          <w:ilvl w:val="0"/>
          <w:numId w:val="1016"/>
        </w:numPr>
      </w:pPr>
      <w:r>
        <w:t xml:space="preserve">Configure log alerts for suspicious activity: failed logins, privilege escalation, file modifications, and new user account creation.</w:t>
      </w:r>
    </w:p>
    <w:p>
      <w:pPr>
        <w:numPr>
          <w:ilvl w:val="0"/>
          <w:numId w:val="1016"/>
        </w:numPr>
      </w:pPr>
      <w:r>
        <w:t xml:space="preserve">Export logs to a centralized SIEM system for correlation with other security events.</w:t>
      </w:r>
    </w:p>
    <w:bookmarkEnd w:id="59"/>
    <w:bookmarkStart w:id="60" w:name="malware-detection"/>
    <w:p>
      <w:pPr>
        <w:pStyle w:val="Heading3"/>
      </w:pPr>
      <w:r>
        <w:t xml:space="preserve">9.3 Malware Detection</w:t>
      </w:r>
    </w:p>
    <w:p>
      <w:pPr>
        <w:numPr>
          <w:ilvl w:val="0"/>
          <w:numId w:val="1017"/>
        </w:numPr>
      </w:pPr>
      <w:r>
        <w:t xml:space="preserve">Deploy server-level malware detection (e.g., Imunify360, Linux Malware Detect, ClamAV).</w:t>
      </w:r>
    </w:p>
    <w:p>
      <w:pPr>
        <w:numPr>
          <w:ilvl w:val="0"/>
          <w:numId w:val="1017"/>
        </w:numPr>
      </w:pPr>
      <w:r>
        <w:t xml:space="preserve">Schedule regular integrity checks comparing core files against known-good checksums.</w:t>
      </w:r>
    </w:p>
    <w:p>
      <w:pPr>
        <w:numPr>
          <w:ilvl w:val="0"/>
          <w:numId w:val="1017"/>
        </w:numPr>
      </w:pPr>
      <w:r>
        <w:t xml:space="preserve">Monitor for unauthorized file changes, especially in plugin and theme directories.</w:t>
      </w:r>
    </w:p>
    <w:bookmarkEnd w:id="60"/>
    <w:bookmarkEnd w:id="61"/>
    <w:bookmarkStart w:id="62"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8"/>
        </w:numPr>
      </w:pPr>
      <w:r>
        <w:t xml:space="preserve">Perform backups at the server level (not relying solely on WordPress plugins).</w:t>
      </w:r>
    </w:p>
    <w:p>
      <w:pPr>
        <w:numPr>
          <w:ilvl w:val="0"/>
          <w:numId w:val="1018"/>
        </w:numPr>
      </w:pPr>
      <w:r>
        <w:t xml:space="preserve">Store backups offsite, in a location inaccessible from the production environment.</w:t>
      </w:r>
    </w:p>
    <w:p>
      <w:pPr>
        <w:numPr>
          <w:ilvl w:val="0"/>
          <w:numId w:val="1018"/>
        </w:numPr>
      </w:pPr>
      <w:r>
        <w:t xml:space="preserve">Encrypt backup data both in transit and at rest.</w:t>
      </w:r>
    </w:p>
    <w:p>
      <w:pPr>
        <w:numPr>
          <w:ilvl w:val="0"/>
          <w:numId w:val="1018"/>
        </w:numPr>
      </w:pPr>
      <w:r>
        <w:t xml:space="preserve">Test backup restoration procedures regularly (at least quarterly).</w:t>
      </w:r>
    </w:p>
    <w:p>
      <w:pPr>
        <w:numPr>
          <w:ilvl w:val="0"/>
          <w:numId w:val="1018"/>
        </w:numPr>
      </w:pPr>
      <w:r>
        <w:t xml:space="preserve">Maintain multiple backup generations with sufficient retention to recover from undetected compromises.</w:t>
      </w:r>
    </w:p>
    <w:p>
      <w:pPr>
        <w:numPr>
          <w:ilvl w:val="0"/>
          <w:numId w:val="1018"/>
        </w:numPr>
      </w:pPr>
      <w:r>
        <w:t xml:space="preserve">Document the recovery procedure and assign clear ownership.</w:t>
      </w:r>
    </w:p>
    <w:bookmarkEnd w:id="62"/>
    <w:bookmarkStart w:id="67"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3"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3"/>
    <w:bookmarkStart w:id="64" w:name="plugin-and-theme-management"/>
    <w:p>
      <w:pPr>
        <w:pStyle w:val="Heading3"/>
      </w:pPr>
      <w:r>
        <w:t xml:space="preserve">11.2 Plugin and Theme Management</w:t>
      </w:r>
    </w:p>
    <w:p>
      <w:pPr>
        <w:pStyle w:val="Compact"/>
        <w:numPr>
          <w:ilvl w:val="0"/>
          <w:numId w:val="1019"/>
        </w:numPr>
      </w:pPr>
      <w:r>
        <w:t xml:space="preserve">Only install plugins and themes from trusted sources (WordPress.org repository, reputable commercial vendors).</w:t>
      </w:r>
    </w:p>
    <w:p>
      <w:pPr>
        <w:pStyle w:val="Compact"/>
        <w:numPr>
          <w:ilvl w:val="0"/>
          <w:numId w:val="1019"/>
        </w:numPr>
      </w:pPr>
      <w:r>
        <w:t xml:space="preserve">Evaluate plugins for active maintenance, update frequency, known vulnerabilities, and code quality before deployment.</w:t>
      </w:r>
    </w:p>
    <w:p>
      <w:pPr>
        <w:pStyle w:val="Compact"/>
        <w:numPr>
          <w:ilvl w:val="0"/>
          <w:numId w:val="1019"/>
        </w:numPr>
      </w:pPr>
      <w:r>
        <w:t xml:space="preserve">Remove all unused plugins and themes from the server (deactivation alone is insufficient).</w:t>
      </w:r>
    </w:p>
    <w:p>
      <w:pPr>
        <w:pStyle w:val="Compact"/>
        <w:numPr>
          <w:ilvl w:val="0"/>
          <w:numId w:val="1019"/>
        </w:numPr>
      </w:pPr>
      <w:r>
        <w:t xml:space="preserve">Monitor plugin vulnerability disclosures and apply patches promptly.</w:t>
      </w:r>
    </w:p>
    <w:bookmarkEnd w:id="64"/>
    <w:bookmarkStart w:id="65" w:name="internal-toolchain-security"/>
    <w:p>
      <w:pPr>
        <w:pStyle w:val="Heading3"/>
      </w:pPr>
      <w:r>
        <w:t xml:space="preserve">11.3 Internal Toolchain Security</w:t>
      </w:r>
    </w:p>
    <w:p>
      <w:pPr>
        <w:pStyle w:val="Compact"/>
        <w:numPr>
          <w:ilvl w:val="0"/>
          <w:numId w:val="1020"/>
        </w:numPr>
      </w:pPr>
      <w:r>
        <w:t xml:space="preserve">Verify the integrity of build and deployment tools.</w:t>
      </w:r>
    </w:p>
    <w:p>
      <w:pPr>
        <w:pStyle w:val="Compact"/>
        <w:numPr>
          <w:ilvl w:val="0"/>
          <w:numId w:val="1020"/>
        </w:numPr>
      </w:pPr>
      <w:r>
        <w:t xml:space="preserve">Use version-controlled, auditable deployment pipelines.</w:t>
      </w:r>
    </w:p>
    <w:p>
      <w:pPr>
        <w:pStyle w:val="Compact"/>
        <w:numPr>
          <w:ilvl w:val="0"/>
          <w:numId w:val="1020"/>
        </w:numPr>
      </w:pPr>
      <w:r>
        <w:t xml:space="preserve">Pin dependency versions and verify checksums for all external packages.</w:t>
      </w:r>
    </w:p>
    <w:p>
      <w:pPr>
        <w:pStyle w:val="Compact"/>
        <w:numPr>
          <w:ilvl w:val="0"/>
          <w:numId w:val="1020"/>
        </w:numPr>
      </w:pPr>
      <w:r>
        <w:t xml:space="preserve">Conduct code reviews for custom plugins and theme code before deployment.</w:t>
      </w:r>
    </w:p>
    <w:bookmarkEnd w:id="65"/>
    <w:bookmarkStart w:id="66"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6"/>
    <w:bookmarkEnd w:id="67"/>
    <w:bookmarkStart w:id="73"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8" w:name="employee-and-third-party-access-policies"/>
    <w:p>
      <w:pPr>
        <w:pStyle w:val="Heading3"/>
      </w:pPr>
      <w:r>
        <w:t xml:space="preserve">12.1 Employee and Third-Party Access Policies</w:t>
      </w:r>
    </w:p>
    <w:p>
      <w:pPr>
        <w:numPr>
          <w:ilvl w:val="0"/>
          <w:numId w:val="1021"/>
        </w:numPr>
      </w:pPr>
      <w:r>
        <w:t xml:space="preserve">Require 2FA and VPN for all remote access to WordPress admin interfaces.</w:t>
      </w:r>
    </w:p>
    <w:p>
      <w:pPr>
        <w:numPr>
          <w:ilvl w:val="0"/>
          <w:numId w:val="1021"/>
        </w:numPr>
      </w:pPr>
      <w:r>
        <w:t xml:space="preserve">Require timely OS and software updates on all devices used to access WordPress.</w:t>
      </w:r>
    </w:p>
    <w:p>
      <w:pPr>
        <w:numPr>
          <w:ilvl w:val="0"/>
          <w:numId w:val="1021"/>
        </w:numPr>
      </w:pPr>
      <w:r>
        <w:t xml:space="preserve">Require email scanning for malware and endpoint protection software.</w:t>
      </w:r>
    </w:p>
    <w:p>
      <w:pPr>
        <w:numPr>
          <w:ilvl w:val="0"/>
          <w:numId w:val="1021"/>
        </w:numPr>
      </w:pPr>
      <w:r>
        <w:t xml:space="preserve">Address phishing and social engineering in employee onboarding and recurring training.</w:t>
      </w:r>
    </w:p>
    <w:p>
      <w:pPr>
        <w:numPr>
          <w:ilvl w:val="0"/>
          <w:numId w:val="1021"/>
        </w:numPr>
      </w:pPr>
      <w:r>
        <w:t xml:space="preserve">Define and enforce a BYOD policy or restrict administrative access to managed devices.</w:t>
      </w:r>
    </w:p>
    <w:p>
      <w:pPr>
        <w:numPr>
          <w:ilvl w:val="0"/>
          <w:numId w:val="1021"/>
        </w:numPr>
      </w:pPr>
      <w:r>
        <w:t xml:space="preserve">Terminate access promptly when employees or contractors depart.</w:t>
      </w:r>
    </w:p>
    <w:bookmarkEnd w:id="68"/>
    <w:bookmarkStart w:id="69" w:name="security-policies-and-governance"/>
    <w:p>
      <w:pPr>
        <w:pStyle w:val="Heading3"/>
      </w:pPr>
      <w:r>
        <w:t xml:space="preserve">12.2 Security Policies and Governance</w:t>
      </w:r>
    </w:p>
    <w:p>
      <w:pPr>
        <w:numPr>
          <w:ilvl w:val="0"/>
          <w:numId w:val="1022"/>
        </w:numPr>
      </w:pPr>
      <w:r>
        <w:t xml:space="preserve">Define and enforce a written user security policy covering password standards, session management, and acceptable use.</w:t>
      </w:r>
    </w:p>
    <w:p>
      <w:pPr>
        <w:numPr>
          <w:ilvl w:val="0"/>
          <w:numId w:val="1022"/>
        </w:numPr>
      </w:pPr>
      <w:r>
        <w:t xml:space="preserve">Adopt a Zero-Trust model: continuously verify active users regardless of network location.</w:t>
      </w:r>
    </w:p>
    <w:p>
      <w:pPr>
        <w:numPr>
          <w:ilvl w:val="0"/>
          <w:numId w:val="1022"/>
        </w:numPr>
      </w:pPr>
      <w:r>
        <w:t xml:space="preserve">Establish software version management and update policies with defined SLAs.</w:t>
      </w:r>
    </w:p>
    <w:p>
      <w:pPr>
        <w:numPr>
          <w:ilvl w:val="0"/>
          <w:numId w:val="1022"/>
        </w:numPr>
      </w:pPr>
      <w:r>
        <w:t xml:space="preserve">Define security metrics and conduct regular audits (internal and external).</w:t>
      </w:r>
    </w:p>
    <w:p>
      <w:pPr>
        <w:numPr>
          <w:ilvl w:val="0"/>
          <w:numId w:val="1022"/>
        </w:numPr>
      </w:pPr>
      <w:r>
        <w:t xml:space="preserve">Create, document, and practice an incident response plan with assigned roles (see Section 12.3).</w:t>
      </w:r>
    </w:p>
    <w:p>
      <w:pPr>
        <w:numPr>
          <w:ilvl w:val="0"/>
          <w:numId w:val="1022"/>
        </w:numPr>
      </w:pPr>
      <w:r>
        <w:t xml:space="preserve">Maintain a disaster recovery plan integrated with the business continuity plan.</w:t>
      </w:r>
    </w:p>
    <w:p>
      <w:pPr>
        <w:numPr>
          <w:ilvl w:val="0"/>
          <w:numId w:val="1022"/>
        </w:numPr>
      </w:pPr>
      <w:r>
        <w:t xml:space="preserve">Require written SLAs with hosting providers and third-party data handlers that address security, privacy, and compliance.</w:t>
      </w:r>
    </w:p>
    <w:p>
      <w:pPr>
        <w:numPr>
          <w:ilvl w:val="0"/>
          <w:numId w:val="1022"/>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69"/>
    <w:bookmarkStart w:id="70"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3"/>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3"/>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3"/>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3"/>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3"/>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3"/>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0"/>
    <w:bookmarkStart w:id="71"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4"/>
        </w:numPr>
      </w:pPr>
      <w:r>
        <w:t xml:space="preserve">Train teams with simulated breach scenarios and tabletop exercises.</w:t>
      </w:r>
    </w:p>
    <w:p>
      <w:pPr>
        <w:numPr>
          <w:ilvl w:val="0"/>
          <w:numId w:val="1024"/>
        </w:numPr>
      </w:pPr>
      <w:r>
        <w:t xml:space="preserve">Make security practices habitual, not just policy documents.</w:t>
      </w:r>
    </w:p>
    <w:p>
      <w:pPr>
        <w:numPr>
          <w:ilvl w:val="0"/>
          <w:numId w:val="1024"/>
        </w:numPr>
      </w:pPr>
      <w:r>
        <w:t xml:space="preserve">Ensure norms, values, and assumptions across the organization align with security goals.</w:t>
      </w:r>
    </w:p>
    <w:p>
      <w:pPr>
        <w:numPr>
          <w:ilvl w:val="0"/>
          <w:numId w:val="1024"/>
        </w:numPr>
      </w:pPr>
      <w:r>
        <w:t xml:space="preserve">Empower all team members to identify and report potential compromise.</w:t>
      </w:r>
    </w:p>
    <w:bookmarkEnd w:id="71"/>
    <w:bookmarkStart w:id="72"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5"/>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5"/>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5"/>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5"/>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5"/>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5"/>
        </w:numPr>
      </w:pPr>
      <w:r>
        <w:rPr>
          <w:b/>
          <w:bCs/>
        </w:rPr>
        <w:t xml:space="preserve">Retention Policies:</w:t>
      </w:r>
      <w:r>
        <w:t xml:space="preserve"> </w:t>
      </w:r>
      <w:r>
        <w:t xml:space="preserve">Define and enforce data retention schedules. Automatically purge data that is no longer needed for its stated purpose.</w:t>
      </w:r>
    </w:p>
    <w:bookmarkEnd w:id="72"/>
    <w:bookmarkEnd w:id="73"/>
    <w:bookmarkStart w:id="74"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6"/>
        </w:numPr>
      </w:pPr>
      <w:r>
        <w:t xml:space="preserve">Per-site process isolation in containerized or chroot environments.</w:t>
      </w:r>
    </w:p>
    <w:p>
      <w:pPr>
        <w:pStyle w:val="Compact"/>
        <w:numPr>
          <w:ilvl w:val="0"/>
          <w:numId w:val="1026"/>
        </w:numPr>
      </w:pPr>
      <w:r>
        <w:t xml:space="preserve">Managed, automated patching for the full server stack (OS, PHP, database, web server).</w:t>
      </w:r>
    </w:p>
    <w:p>
      <w:pPr>
        <w:pStyle w:val="Compact"/>
        <w:numPr>
          <w:ilvl w:val="0"/>
          <w:numId w:val="1026"/>
        </w:numPr>
      </w:pPr>
      <w:r>
        <w:t xml:space="preserve">Multiple upstream security layers (network-level DDoS mitigation, WAF, intrusion detection).</w:t>
      </w:r>
    </w:p>
    <w:p>
      <w:pPr>
        <w:pStyle w:val="Compact"/>
        <w:numPr>
          <w:ilvl w:val="0"/>
          <w:numId w:val="1026"/>
        </w:numPr>
      </w:pPr>
      <w:r>
        <w:t xml:space="preserve">Automated, offsite backups with tested recovery procedures.</w:t>
      </w:r>
    </w:p>
    <w:p>
      <w:pPr>
        <w:pStyle w:val="Compact"/>
        <w:numPr>
          <w:ilvl w:val="0"/>
          <w:numId w:val="1026"/>
        </w:numPr>
      </w:pPr>
      <w:r>
        <w:t xml:space="preserve">Relevant certifications: SOC 2, PCI DSS, GDPR-aligned data processing agreements, and for government/education, FedRAMP or equivalent.</w:t>
      </w:r>
    </w:p>
    <w:p>
      <w:pPr>
        <w:pStyle w:val="Compact"/>
        <w:numPr>
          <w:ilvl w:val="0"/>
          <w:numId w:val="1026"/>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4"/>
    <w:bookmarkStart w:id="78"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5"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7"/>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7"/>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5"/>
    <w:bookmarkStart w:id="76"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6"/>
    <w:bookmarkStart w:id="77" w:name="securing-ai-integrations-in-wordpress"/>
    <w:p>
      <w:pPr>
        <w:pStyle w:val="Heading3"/>
      </w:pPr>
      <w:r>
        <w:t xml:space="preserve">14.3 Securing AI Integrations in WordPress</w:t>
      </w:r>
    </w:p>
    <w:p>
      <w:pPr>
        <w:pStyle w:val="Compact"/>
        <w:numPr>
          <w:ilvl w:val="0"/>
          <w:numId w:val="1028"/>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8"/>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8"/>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8"/>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8"/>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8"/>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7"/>
    <w:bookmarkEnd w:id="78"/>
    <w:bookmarkStart w:id="101" w:name="additional-resources"/>
    <w:p>
      <w:pPr>
        <w:pStyle w:val="Heading2"/>
      </w:pPr>
      <w:r>
        <w:t xml:space="preserve">15. Additional Resources</w:t>
      </w:r>
    </w:p>
    <w:bookmarkStart w:id="83" w:name="wordpress-security-documentation"/>
    <w:p>
      <w:pPr>
        <w:pStyle w:val="Heading3"/>
      </w:pPr>
      <w:r>
        <w:t xml:space="preserve">15.1 WordPress Security Documentation</w:t>
      </w:r>
    </w:p>
    <w:p>
      <w:pPr>
        <w:pStyle w:val="Compact"/>
        <w:numPr>
          <w:ilvl w:val="0"/>
          <w:numId w:val="1029"/>
        </w:numPr>
      </w:pPr>
      <w:hyperlink r:id="rId79">
        <w:r>
          <w:rPr>
            <w:rStyle w:val="Hyperlink"/>
          </w:rPr>
          <w:t xml:space="preserve">Hardening WordPress — Advanced Administration Handbook</w:t>
        </w:r>
      </w:hyperlink>
    </w:p>
    <w:p>
      <w:pPr>
        <w:pStyle w:val="Compact"/>
        <w:numPr>
          <w:ilvl w:val="0"/>
          <w:numId w:val="1029"/>
        </w:numPr>
      </w:pPr>
      <w:hyperlink r:id="rId80">
        <w:r>
          <w:rPr>
            <w:rStyle w:val="Hyperlink"/>
          </w:rPr>
          <w:t xml:space="preserve">WordPress Security White Paper (developer.wordpress.org)</w:t>
        </w:r>
      </w:hyperlink>
    </w:p>
    <w:p>
      <w:pPr>
        <w:pStyle w:val="Compact"/>
        <w:numPr>
          <w:ilvl w:val="0"/>
          <w:numId w:val="1029"/>
        </w:numPr>
      </w:pPr>
      <w:hyperlink r:id="rId81">
        <w:r>
          <w:rPr>
            <w:rStyle w:val="Hyperlink"/>
          </w:rPr>
          <w:t xml:space="preserve">Brute Force Attacks (developer.wordpress.org)</w:t>
        </w:r>
      </w:hyperlink>
    </w:p>
    <w:p>
      <w:pPr>
        <w:pStyle w:val="Compact"/>
        <w:numPr>
          <w:ilvl w:val="0"/>
          <w:numId w:val="1029"/>
        </w:numPr>
      </w:pPr>
      <w:hyperlink r:id="rId82">
        <w:r>
          <w:rPr>
            <w:rStyle w:val="Hyperlink"/>
          </w:rPr>
          <w:t xml:space="preserve">WordPress VIP Security Best Practices</w:t>
        </w:r>
      </w:hyperlink>
    </w:p>
    <w:bookmarkEnd w:id="83"/>
    <w:bookmarkStart w:id="92" w:name="threat-intelligence-and-industry-reports"/>
    <w:p>
      <w:pPr>
        <w:pStyle w:val="Heading3"/>
      </w:pPr>
      <w:r>
        <w:t xml:space="preserve">15.2 Threat Intelligence and Industry Reports</w:t>
      </w:r>
    </w:p>
    <w:p>
      <w:pPr>
        <w:pStyle w:val="Compact"/>
        <w:numPr>
          <w:ilvl w:val="0"/>
          <w:numId w:val="1030"/>
        </w:numPr>
      </w:pPr>
      <w:hyperlink r:id="rId84">
        <w:r>
          <w:rPr>
            <w:rStyle w:val="Hyperlink"/>
          </w:rPr>
          <w:t xml:space="preserve">OWASP Top 10:2025 Web Application Security Risks</w:t>
        </w:r>
      </w:hyperlink>
    </w:p>
    <w:p>
      <w:pPr>
        <w:pStyle w:val="Compact"/>
        <w:numPr>
          <w:ilvl w:val="0"/>
          <w:numId w:val="1030"/>
        </w:numPr>
      </w:pPr>
      <w:hyperlink r:id="rId85">
        <w:r>
          <w:rPr>
            <w:rStyle w:val="Hyperlink"/>
          </w:rPr>
          <w:t xml:space="preserve">Patchstack State of WordPress Security (annual whitepaper)</w:t>
        </w:r>
      </w:hyperlink>
    </w:p>
    <w:p>
      <w:pPr>
        <w:pStyle w:val="Compact"/>
        <w:numPr>
          <w:ilvl w:val="0"/>
          <w:numId w:val="1030"/>
        </w:numPr>
      </w:pPr>
      <w:hyperlink r:id="rId86">
        <w:r>
          <w:rPr>
            <w:rStyle w:val="Hyperlink"/>
          </w:rPr>
          <w:t xml:space="preserve">Wordfence Annual WordPress Security Report</w:t>
        </w:r>
      </w:hyperlink>
    </w:p>
    <w:p>
      <w:pPr>
        <w:pStyle w:val="Compact"/>
        <w:numPr>
          <w:ilvl w:val="0"/>
          <w:numId w:val="1030"/>
        </w:numPr>
      </w:pPr>
      <w:hyperlink r:id="rId87">
        <w:r>
          <w:rPr>
            <w:rStyle w:val="Hyperlink"/>
          </w:rPr>
          <w:t xml:space="preserve">Sucuri Website Threat Research Report</w:t>
        </w:r>
      </w:hyperlink>
    </w:p>
    <w:p>
      <w:pPr>
        <w:pStyle w:val="Compact"/>
        <w:numPr>
          <w:ilvl w:val="0"/>
          <w:numId w:val="1030"/>
        </w:numPr>
      </w:pPr>
      <w:hyperlink r:id="rId88">
        <w:r>
          <w:rPr>
            <w:rStyle w:val="Hyperlink"/>
          </w:rPr>
          <w:t xml:space="preserve">Verizon Data Breach Investigations Report</w:t>
        </w:r>
      </w:hyperlink>
    </w:p>
    <w:p>
      <w:pPr>
        <w:pStyle w:val="Compact"/>
        <w:numPr>
          <w:ilvl w:val="0"/>
          <w:numId w:val="1030"/>
        </w:numPr>
      </w:pPr>
      <w:hyperlink r:id="rId89">
        <w:r>
          <w:rPr>
            <w:rStyle w:val="Hyperlink"/>
          </w:rPr>
          <w:t xml:space="preserve">IBM X-Force Threat Intelligence Index</w:t>
        </w:r>
      </w:hyperlink>
    </w:p>
    <w:p>
      <w:pPr>
        <w:pStyle w:val="Compact"/>
        <w:numPr>
          <w:ilvl w:val="0"/>
          <w:numId w:val="1030"/>
        </w:numPr>
      </w:pPr>
      <w:hyperlink r:id="rId90">
        <w:r>
          <w:rPr>
            <w:rStyle w:val="Hyperlink"/>
          </w:rPr>
          <w:t xml:space="preserve">IBM Cost of a Data Breach Report</w:t>
        </w:r>
      </w:hyperlink>
    </w:p>
    <w:p>
      <w:pPr>
        <w:pStyle w:val="Compact"/>
        <w:numPr>
          <w:ilvl w:val="0"/>
          <w:numId w:val="1030"/>
        </w:numPr>
      </w:pPr>
      <w:hyperlink r:id="rId91">
        <w:r>
          <w:rPr>
            <w:rStyle w:val="Hyperlink"/>
          </w:rPr>
          <w:t xml:space="preserve">CISA Known Exploited Vulnerabilities Catalog</w:t>
        </w:r>
      </w:hyperlink>
    </w:p>
    <w:bookmarkEnd w:id="92"/>
    <w:bookmarkStart w:id="97" w:name="standards-and-frameworks"/>
    <w:p>
      <w:pPr>
        <w:pStyle w:val="Heading3"/>
      </w:pPr>
      <w:r>
        <w:t xml:space="preserve">15.3 Standards and Frameworks</w:t>
      </w:r>
    </w:p>
    <w:p>
      <w:pPr>
        <w:pStyle w:val="Compact"/>
        <w:numPr>
          <w:ilvl w:val="0"/>
          <w:numId w:val="1031"/>
        </w:numPr>
      </w:pPr>
      <w:hyperlink r:id="rId93">
        <w:r>
          <w:rPr>
            <w:rStyle w:val="Hyperlink"/>
          </w:rPr>
          <w:t xml:space="preserve">NIST SP 800-63B: Digital Identity Guidelines — Authentication</w:t>
        </w:r>
      </w:hyperlink>
    </w:p>
    <w:p>
      <w:pPr>
        <w:pStyle w:val="Compact"/>
        <w:numPr>
          <w:ilvl w:val="0"/>
          <w:numId w:val="1031"/>
        </w:numPr>
      </w:pPr>
      <w:hyperlink r:id="rId94">
        <w:r>
          <w:rPr>
            <w:rStyle w:val="Hyperlink"/>
          </w:rPr>
          <w:t xml:space="preserve">NIST SP 800-61: Computer Security Incident Handling Guide</w:t>
        </w:r>
      </w:hyperlink>
    </w:p>
    <w:p>
      <w:pPr>
        <w:pStyle w:val="Compact"/>
        <w:numPr>
          <w:ilvl w:val="0"/>
          <w:numId w:val="1031"/>
        </w:numPr>
      </w:pPr>
      <w:hyperlink r:id="rId95">
        <w:r>
          <w:rPr>
            <w:rStyle w:val="Hyperlink"/>
          </w:rPr>
          <w:t xml:space="preserve">CIS Benchmarks</w:t>
        </w:r>
      </w:hyperlink>
    </w:p>
    <w:p>
      <w:pPr>
        <w:pStyle w:val="Compact"/>
        <w:numPr>
          <w:ilvl w:val="0"/>
          <w:numId w:val="1031"/>
        </w:numPr>
      </w:pPr>
      <w:hyperlink r:id="rId96">
        <w:r>
          <w:rPr>
            <w:rStyle w:val="Hyperlink"/>
          </w:rPr>
          <w:t xml:space="preserve">ISO/IEC 27000: Information Security Management</w:t>
        </w:r>
      </w:hyperlink>
    </w:p>
    <w:bookmarkEnd w:id="97"/>
    <w:bookmarkStart w:id="100" w:name="X00fc8c82620e041623f6fee31e62d29d538d53d"/>
    <w:p>
      <w:pPr>
        <w:pStyle w:val="Heading3"/>
      </w:pPr>
      <w:r>
        <w:t xml:space="preserve">15.4 Security Culture and Organizational Practices</w:t>
      </w:r>
    </w:p>
    <w:p>
      <w:pPr>
        <w:pStyle w:val="Compact"/>
        <w:numPr>
          <w:ilvl w:val="0"/>
          <w:numId w:val="1032"/>
        </w:numPr>
      </w:pPr>
      <w:hyperlink r:id="rId98">
        <w:r>
          <w:rPr>
            <w:rStyle w:val="Hyperlink"/>
          </w:rPr>
          <w:t xml:space="preserve">KnowBe4: Security Culture</w:t>
        </w:r>
      </w:hyperlink>
    </w:p>
    <w:p>
      <w:pPr>
        <w:pStyle w:val="Compact"/>
        <w:numPr>
          <w:ilvl w:val="0"/>
          <w:numId w:val="1032"/>
        </w:numPr>
      </w:pPr>
      <w:hyperlink r:id="rId99">
        <w:r>
          <w:rPr>
            <w:rStyle w:val="Hyperlink"/>
          </w:rPr>
          <w:t xml:space="preserve">NIST: Users Are Not Stupid — Six Cyber Security Pitfalls Overturned</w:t>
        </w:r>
      </w:hyperlink>
    </w:p>
    <w:bookmarkEnd w:id="100"/>
    <w:bookmarkEnd w:id="101"/>
    <w:bookmarkStart w:id="104" w:name="related-documents"/>
    <w:p>
      <w:pPr>
        <w:pStyle w:val="Heading2"/>
      </w:pPr>
      <w:r>
        <w:t xml:space="preserve">Related Documents</w:t>
      </w:r>
    </w:p>
    <w:p>
      <w:pPr>
        <w:pStyle w:val="Compact"/>
        <w:numPr>
          <w:ilvl w:val="0"/>
          <w:numId w:val="1033"/>
        </w:numPr>
      </w:pPr>
      <w:hyperlink r:id="rId102">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3"/>
        </w:numPr>
      </w:pPr>
      <w:hyperlink r:id="rId103">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0">
        <w:r>
          <w:rPr>
            <w:rStyle w:val="Hyperlink"/>
          </w:rPr>
          <w:t xml:space="preserve">developer.wordpress.org</w:t>
        </w:r>
      </w:hyperlink>
      <w:r>
        <w:t xml:space="preserve">.</w:t>
      </w:r>
    </w:p>
    <w:bookmarkEnd w:id="104"/>
    <w:bookmarkStart w:id="106" w:name="license-and-attribution"/>
    <w:p>
      <w:pPr>
        <w:pStyle w:val="Heading2"/>
      </w:pPr>
      <w:r>
        <w:t xml:space="preserve">License and Attribution</w:t>
      </w:r>
    </w:p>
    <w:p>
      <w:pPr>
        <w:pStyle w:val="FirstParagraph"/>
      </w:pPr>
      <w:r>
        <w:t xml:space="preserve">This document is licensed under the</w:t>
      </w:r>
      <w:r>
        <w:t xml:space="preserve"> </w:t>
      </w:r>
      <w:hyperlink r:id="rId10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s://creativecommons.org/licenses/by-sa/4.0/" TargetMode="External" /><Relationship Type="http://schemas.openxmlformats.org/officeDocument/2006/relationships/hyperlink" Id="rId94"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102" Target="https://github.com/dknauss/wp-security-benchmark" TargetMode="External" /><Relationship Type="http://schemas.openxmlformats.org/officeDocument/2006/relationships/hyperlink" Id="rId103"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93" Target="https://pages.nist.gov/800-63-3/sp800-63b.html" TargetMode="External" /><Relationship Type="http://schemas.openxmlformats.org/officeDocument/2006/relationships/hyperlink" Id="rId85" Target="https://patchstack.com/whitepaper/" TargetMode="External" /><Relationship Type="http://schemas.openxmlformats.org/officeDocument/2006/relationships/hyperlink" Id="rId87"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1" Target="https://www.cisa.gov/known-exploited-vulnerabilities-catalog" TargetMode="External" /><Relationship Type="http://schemas.openxmlformats.org/officeDocument/2006/relationships/hyperlink" Id="rId95" Target="https://www.cisecurity.org/cis-benchmarks" TargetMode="External" /><Relationship Type="http://schemas.openxmlformats.org/officeDocument/2006/relationships/hyperlink" Id="rId90" Target="https://www.ibm.com/reports/data-breach" TargetMode="External" /><Relationship Type="http://schemas.openxmlformats.org/officeDocument/2006/relationships/hyperlink" Id="rId89" Target="https://www.ibm.com/reports/threat-intelligence" TargetMode="External" /><Relationship Type="http://schemas.openxmlformats.org/officeDocument/2006/relationships/hyperlink" Id="rId96" Target="https://www.iso.org/standard/73906.html" TargetMode="External" /><Relationship Type="http://schemas.openxmlformats.org/officeDocument/2006/relationships/hyperlink" Id="rId98" Target="https://www.knowbe4.com/security-culture" TargetMode="External" /><Relationship Type="http://schemas.openxmlformats.org/officeDocument/2006/relationships/hyperlink" Id="rId99" Target="https://www.nist.gov/" TargetMode="External" /><Relationship Type="http://schemas.openxmlformats.org/officeDocument/2006/relationships/hyperlink" Id="rId88" Target="https://www.verizon.com/business/resources/reports/dbir/" TargetMode="External" /><Relationship Type="http://schemas.openxmlformats.org/officeDocument/2006/relationships/hyperlink" Id="rId86"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5" Target="https://creativecommons.org/licenses/by-sa/4.0/" TargetMode="External" /><Relationship Type="http://schemas.openxmlformats.org/officeDocument/2006/relationships/hyperlink" Id="rId94"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102" Target="https://github.com/dknauss/wp-security-benchmark" TargetMode="External" /><Relationship Type="http://schemas.openxmlformats.org/officeDocument/2006/relationships/hyperlink" Id="rId103"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93" Target="https://pages.nist.gov/800-63-3/sp800-63b.html" TargetMode="External" /><Relationship Type="http://schemas.openxmlformats.org/officeDocument/2006/relationships/hyperlink" Id="rId85" Target="https://patchstack.com/whitepaper/" TargetMode="External" /><Relationship Type="http://schemas.openxmlformats.org/officeDocument/2006/relationships/hyperlink" Id="rId87"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1" Target="https://www.cisa.gov/known-exploited-vulnerabilities-catalog" TargetMode="External" /><Relationship Type="http://schemas.openxmlformats.org/officeDocument/2006/relationships/hyperlink" Id="rId95" Target="https://www.cisecurity.org/cis-benchmarks" TargetMode="External" /><Relationship Type="http://schemas.openxmlformats.org/officeDocument/2006/relationships/hyperlink" Id="rId90" Target="https://www.ibm.com/reports/data-breach" TargetMode="External" /><Relationship Type="http://schemas.openxmlformats.org/officeDocument/2006/relationships/hyperlink" Id="rId89" Target="https://www.ibm.com/reports/threat-intelligence" TargetMode="External" /><Relationship Type="http://schemas.openxmlformats.org/officeDocument/2006/relationships/hyperlink" Id="rId96" Target="https://www.iso.org/standard/73906.html" TargetMode="External" /><Relationship Type="http://schemas.openxmlformats.org/officeDocument/2006/relationships/hyperlink" Id="rId98" Target="https://www.knowbe4.com/security-culture" TargetMode="External" /><Relationship Type="http://schemas.openxmlformats.org/officeDocument/2006/relationships/hyperlink" Id="rId99" Target="https://www.nist.gov/" TargetMode="External" /><Relationship Type="http://schemas.openxmlformats.org/officeDocument/2006/relationships/hyperlink" Id="rId88" Target="https://www.verizon.com/business/resources/reports/dbir/" TargetMode="External" /><Relationship Type="http://schemas.openxmlformats.org/officeDocument/2006/relationships/hyperlink" Id="rId86"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2026-03-03T01:23:00Z</dcterms:created>
  <dcterms:modified xsi:type="dcterms:W3CDTF">2026-03-03T01:23:00Z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