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 — DRAFT</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4" w:name="X80d91a36c545fea7e80f4eed758dc2aeeeb403a"/>
    <w:p>
      <w:pPr>
        <w:pStyle w:val="Heading1"/>
      </w:pPr>
      <w:r>
        <w:t xml:space="preserve">WordPress Security Architecture and Hardening Guide — DRAFT</w:t>
      </w:r>
    </w:p>
    <w:p>
      <w:pPr>
        <w:pStyle w:val="FirstParagraph"/>
      </w:pPr>
      <w:r>
        <w:rPr>
          <w:b/>
          <w:bCs/>
        </w:rPr>
        <w:t xml:space="preserve">Enterprise Best Practices and Threat Mitigation</w:t>
      </w:r>
    </w:p>
    <w:p>
      <w:pPr>
        <w:pStyle w:val="BodyText"/>
      </w:pPr>
      <w:r>
        <w:t xml:space="preserve">An analysis of the security architecture, processes, and best practices of the WordPress content management system</w:t>
      </w:r>
    </w:p>
    <w:p>
      <w:pPr>
        <w:pStyle w:val="BodyText"/>
      </w:pPr>
      <w:r>
        <w:t xml:space="preserve">Dan Knauss</w:t>
      </w:r>
      <w:r>
        <w:t xml:space="preserve"> </w:t>
      </w:r>
      <w:r>
        <w:t xml:space="preserve">February 16, 2026</w:t>
      </w:r>
    </w:p>
    <w:p>
      <w:r>
        <w:pict>
          <v:rect style="width:0;height:1.5pt" o:hralign="center" o:hrstd="t" o:hr="t"/>
        </w:pict>
      </w:r>
    </w:p>
    <w:bookmarkStart w:id="20" w:name="contents"/>
    <w:p>
      <w:pPr>
        <w:pStyle w:val="Heading2"/>
      </w:pPr>
      <w:r>
        <w:t xml:space="preserve">Contents</w:t>
      </w:r>
    </w:p>
    <w:p>
      <w:pPr>
        <w:pStyle w:val="Compact"/>
        <w:numPr>
          <w:ilvl w:val="0"/>
          <w:numId w:val="1001"/>
        </w:numPr>
      </w:pPr>
      <w:hyperlink w:anchor="Xc8951b796c7b61cbdd4998c72efbdeed0056e13">
        <w:r>
          <w:rPr>
            <w:rStyle w:val="Hyperlink"/>
          </w:rPr>
          <w:t xml:space="preserve">Overview</w:t>
        </w:r>
      </w:hyperlink>
    </w:p>
    <w:p>
      <w:pPr>
        <w:pStyle w:val="Compact"/>
        <w:numPr>
          <w:ilvl w:val="0"/>
          <w:numId w:val="1001"/>
        </w:numPr>
      </w:pPr>
      <w:hyperlink w:anchor="X20cba072e2183a5280741d6f3a40a0749a343d5">
        <w:r>
          <w:rPr>
            <w:rStyle w:val="Hyperlink"/>
          </w:rPr>
          <w:t xml:space="preserve">Executive Summary</w:t>
        </w:r>
      </w:hyperlink>
    </w:p>
    <w:p>
      <w:pPr>
        <w:pStyle w:val="Compact"/>
        <w:numPr>
          <w:ilvl w:val="0"/>
          <w:numId w:val="1001"/>
        </w:numPr>
      </w:pPr>
      <w:hyperlink w:anchor="Xa0e5d83e8c16d5f5988666695efe9724c8589a0">
        <w:r>
          <w:rPr>
            <w:rStyle w:val="Hyperlink"/>
          </w:rPr>
          <w:t xml:space="preserve">WordPress Core Security Architecture</w:t>
        </w:r>
      </w:hyperlink>
    </w:p>
    <w:p>
      <w:pPr>
        <w:pStyle w:val="Compact"/>
        <w:numPr>
          <w:ilvl w:val="0"/>
          <w:numId w:val="1001"/>
        </w:numPr>
      </w:pPr>
      <w:hyperlink w:anchor="X7d93616a1aafff416abb4ab218b6b65ebc0cfff">
        <w:r>
          <w:rPr>
            <w:rStyle w:val="Hyperlink"/>
          </w:rPr>
          <w:t xml:space="preserve">OWASP Top 10 Coverage (2025)</w:t>
        </w:r>
      </w:hyperlink>
    </w:p>
    <w:p>
      <w:pPr>
        <w:pStyle w:val="Compact"/>
        <w:numPr>
          <w:ilvl w:val="0"/>
          <w:numId w:val="1001"/>
        </w:numPr>
      </w:pPr>
      <w:hyperlink w:anchor="X50386fb885837f2ab1a98904958c33d3291cee1">
        <w:r>
          <w:rPr>
            <w:rStyle w:val="Hyperlink"/>
          </w:rPr>
          <w:t xml:space="preserve">Keeping WordPress Up to Date</w:t>
        </w:r>
      </w:hyperlink>
    </w:p>
    <w:p>
      <w:pPr>
        <w:pStyle w:val="Compact"/>
        <w:numPr>
          <w:ilvl w:val="0"/>
          <w:numId w:val="1001"/>
        </w:numPr>
      </w:pPr>
      <w:hyperlink w:anchor="Xae6c8282fe6eeae6b6b8b91417e87abb160ad04">
        <w:r>
          <w:rPr>
            <w:rStyle w:val="Hyperlink"/>
          </w:rPr>
          <w:t xml:space="preserve">Server Hardening</w:t>
        </w:r>
      </w:hyperlink>
    </w:p>
    <w:p>
      <w:pPr>
        <w:pStyle w:val="Compact"/>
        <w:numPr>
          <w:ilvl w:val="0"/>
          <w:numId w:val="1001"/>
        </w:numPr>
      </w:pPr>
      <w:hyperlink w:anchor="Xa08873478fda406528a29cdae1728bfde55ecef">
        <w:r>
          <w:rPr>
            <w:rStyle w:val="Hyperlink"/>
          </w:rPr>
          <w:t xml:space="preserve">WordPress Application Hardening</w:t>
        </w:r>
      </w:hyperlink>
    </w:p>
    <w:p>
      <w:pPr>
        <w:pStyle w:val="Compact"/>
        <w:numPr>
          <w:ilvl w:val="0"/>
          <w:numId w:val="1001"/>
        </w:numPr>
      </w:pPr>
      <w:hyperlink w:anchor="Xf5060fbf30c9ddbb4bfc75156b75cc3aee02c1a">
        <w:r>
          <w:rPr>
            <w:rStyle w:val="Hyperlink"/>
          </w:rPr>
          <w:t xml:space="preserve">User Authentication and Session Security</w:t>
        </w:r>
      </w:hyperlink>
    </w:p>
    <w:p>
      <w:pPr>
        <w:pStyle w:val="Compact"/>
        <w:numPr>
          <w:ilvl w:val="0"/>
          <w:numId w:val="1001"/>
        </w:numPr>
      </w:pPr>
      <w:hyperlink w:anchor="Xfcfd83990790cc3e08098d4b0a97bdb12c4bcdc">
        <w:r>
          <w:rPr>
            <w:rStyle w:val="Hyperlink"/>
          </w:rPr>
          <w:t xml:space="preserve">Security Plugins and Monitoring</w:t>
        </w:r>
      </w:hyperlink>
    </w:p>
    <w:p>
      <w:pPr>
        <w:pStyle w:val="Compact"/>
        <w:numPr>
          <w:ilvl w:val="0"/>
          <w:numId w:val="1001"/>
        </w:numPr>
      </w:pPr>
      <w:hyperlink w:anchor="Xd7eecf8cabb389463292d5df454fc4c5ac7b6d0">
        <w:r>
          <w:rPr>
            <w:rStyle w:val="Hyperlink"/>
          </w:rPr>
          <w:t xml:space="preserve">Backup and Recovery</w:t>
        </w:r>
      </w:hyperlink>
    </w:p>
    <w:p>
      <w:pPr>
        <w:pStyle w:val="Compact"/>
        <w:numPr>
          <w:ilvl w:val="0"/>
          <w:numId w:val="1001"/>
        </w:numPr>
      </w:pPr>
      <w:hyperlink w:anchor="X854e998f0e37a64b5ee98b50ae2901cb7e8debc">
        <w:r>
          <w:rPr>
            <w:rStyle w:val="Hyperlink"/>
          </w:rPr>
          <w:t xml:space="preserve">Supply Chain Security</w:t>
        </w:r>
      </w:hyperlink>
    </w:p>
    <w:p>
      <w:pPr>
        <w:pStyle w:val="Compact"/>
        <w:numPr>
          <w:ilvl w:val="0"/>
          <w:numId w:val="1001"/>
        </w:numPr>
      </w:pPr>
      <w:hyperlink w:anchor="X9c7de4c54e0bee35a8ab2bc96017fcf114a5a57">
        <w:r>
          <w:rPr>
            <w:rStyle w:val="Hyperlink"/>
          </w:rPr>
          <w:t xml:space="preserve">Organizational Security Practices</w:t>
        </w:r>
      </w:hyperlink>
    </w:p>
    <w:p>
      <w:pPr>
        <w:pStyle w:val="Compact"/>
        <w:numPr>
          <w:ilvl w:val="0"/>
          <w:numId w:val="1001"/>
        </w:numPr>
      </w:pPr>
      <w:hyperlink w:anchor="Xa35b124d76cfe8fa17f53779b76e3aaf0b8c78c">
        <w:r>
          <w:rPr>
            <w:rStyle w:val="Hyperlink"/>
          </w:rPr>
          <w:t xml:space="preserve">The Role of the Hosting Provider</w:t>
        </w:r>
      </w:hyperlink>
    </w:p>
    <w:p>
      <w:pPr>
        <w:pStyle w:val="Compact"/>
        <w:numPr>
          <w:ilvl w:val="0"/>
          <w:numId w:val="1001"/>
        </w:numPr>
      </w:pPr>
      <w:hyperlink w:anchor="X74a88df14a4a40bc73241f50a889b3f2b4c0740">
        <w:r>
          <w:rPr>
            <w:rStyle w:val="Hyperlink"/>
          </w:rPr>
          <w:t xml:space="preserve">Generative AI Security in WordPress</w:t>
        </w:r>
      </w:hyperlink>
    </w:p>
    <w:p>
      <w:pPr>
        <w:pStyle w:val="Compact"/>
        <w:numPr>
          <w:ilvl w:val="0"/>
          <w:numId w:val="1001"/>
        </w:numPr>
      </w:pPr>
      <w:hyperlink w:anchor="X9af047e18e901f0aeab826fde7825119e765e51">
        <w:r>
          <w:rPr>
            <w:rStyle w:val="Hyperlink"/>
          </w:rPr>
          <w:t xml:space="preserve">Additional Resources</w:t>
        </w:r>
      </w:hyperlink>
    </w:p>
    <w:p>
      <w:r>
        <w:pict>
          <v:rect style="width:0;height:1.5pt" o:hralign="center" o:hrstd="t" o:hr="t"/>
        </w:pict>
      </w:r>
    </w:p>
    <w:bookmarkEnd w:id="20"/>
    <w:bookmarkStart w:id="21" w:name="overview"/>
    <w:p>
      <w:pPr>
        <w:pStyle w:val="Heading2"/>
      </w:pPr>
      <w:r>
        <w:t xml:space="preserve">1. Overview</w:t>
      </w:r>
    </w:p>
    <w:p>
      <w:pPr>
        <w:pStyle w:val="FirstParagraph"/>
      </w:pPr>
      <w:r>
        <w:t xml:space="preserve">This document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WordPress is a free and open-source content management system (CMS) licensed under the GNU General Public License (GPLv2 or later). It is the most widely used CMS in the world, powering more than 43% of the top 10 million websites on the internet and holding a 63% CMS market share (W3Techs, September 2025). Its extensibility through plugins and themes, combined with a mature development community, makes it a popular choice for organizations of all sizes.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1"/>
    <w:bookmarkStart w:id="22" w:name="executive-summary"/>
    <w:p>
      <w:pPr>
        <w:pStyle w:val="Heading2"/>
      </w:pPr>
      <w:r>
        <w:t xml:space="preserve">2. Executive Summary</w:t>
      </w:r>
    </w:p>
    <w:p>
      <w:pPr>
        <w:pStyle w:val="FirstParagraph"/>
      </w:pPr>
      <w:r>
        <w:t xml:space="preserve">Since its inception in 2003, WordPress has undergone continuous security hardening. Its core software addresses common security threats, including those identified in the OWASP Top 10. The WordPress Security Team, in collaboration with the Core Leadership Team and the global community, identifies and resolves security issues in the core software distributed at WordPress.org.</w:t>
      </w:r>
    </w:p>
    <w:p>
      <w:pPr>
        <w:pStyle w:val="BodyText"/>
      </w:pPr>
      <w:r>
        <w:t xml:space="preserve">The current threat landscape emphasizes that the most significant risks to WordPress deployments come not from the core software itself but from unpatched third-party extensions,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Both reports are published annually and should be consulted for the latest figures.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2"/>
    <w:bookmarkStart w:id="29" w:name="wordpress-core-security-architecture"/>
    <w:p>
      <w:pPr>
        <w:pStyle w:val="Heading2"/>
      </w:pPr>
      <w:r>
        <w:t xml:space="preserve">3. WordPress Core Security Architecture</w:t>
      </w:r>
    </w:p>
    <w:bookmarkStart w:id="25" w:name="the-wordpress-security-team"/>
    <w:p>
      <w:pPr>
        <w:pStyle w:val="Heading3"/>
      </w:pPr>
      <w:r>
        <w:t xml:space="preserve">3.1 The WordPress Security Team</w:t>
      </w:r>
    </w:p>
    <w:p>
      <w:pPr>
        <w:pStyle w:val="FirstParagraph"/>
      </w:pPr>
      <w:r>
        <w:t xml:space="preserve">The WordPress Security Team comprises approximately 50 experts, including lead developers and security researchers, some of whom are Automattic employees (see</w:t>
      </w:r>
      <w:r>
        <w:t xml:space="preserve"> </w:t>
      </w:r>
      <w:hyperlink r:id="rId23">
        <w:r>
          <w:rPr>
            <w:rStyle w:val="Hyperlink"/>
          </w:rPr>
          <w:t xml:space="preserve">WordPress.org Security page</w:t>
        </w:r>
      </w:hyperlink>
      <w:r>
        <w:t xml:space="preserve">). The team collaborates with well-known security researchers, hosting companies, and other stakeholders in the web security field.</w:t>
      </w:r>
    </w:p>
    <w:p>
      <w:pPr>
        <w:pStyle w:val="BodyText"/>
      </w:pPr>
      <w:r>
        <w:t xml:space="preserve">The team practices responsible disclosure. Potential vulnerabilities can be reported through the</w:t>
      </w:r>
      <w:r>
        <w:t xml:space="preserve"> </w:t>
      </w:r>
      <w:hyperlink r:id="rId24">
        <w:r>
          <w:rPr>
            <w:rStyle w:val="Hyperlink"/>
          </w:rPr>
          <w:t xml:space="preserve">WordPress HackerOne program</w:t>
        </w:r>
      </w:hyperlink>
      <w:r>
        <w:t xml:space="preserve">. Reports are acknowledged upon receipt, and the team works to verify, assess severity, and develop patches. Critical fixes may be pushed as immediate security releases.</w:t>
      </w:r>
    </w:p>
    <w:bookmarkEnd w:id="25"/>
    <w:bookmarkStart w:id="26" w:name="the-release-cycle"/>
    <w:p>
      <w:pPr>
        <w:pStyle w:val="Heading3"/>
      </w:pPr>
      <w:r>
        <w:t xml:space="preserve">3.2 The Release Cycle</w:t>
      </w:r>
    </w:p>
    <w:p>
      <w:pPr>
        <w:pStyle w:val="FirstParagraph"/>
      </w:pPr>
      <w:r>
        <w:t xml:space="preserve">Each WordPress release cycle lasts approximately four to five months and follows a structured process: planning and feature scoping, active development, beta releases with community testing, release candidates with string freezes, and final launch. Major versions (e.g., 6.5, 6.6) may add features and APIs, while minor versions (e.g., 6.5.1, 6.5.2) are reserved exclusively for security and critical bug fixes.</w:t>
      </w:r>
    </w:p>
    <w:bookmarkEnd w:id="26"/>
    <w:bookmarkStart w:id="27" w:name="automatic-background-updates"/>
    <w:p>
      <w:pPr>
        <w:pStyle w:val="Heading3"/>
      </w:pPr>
      <w:r>
        <w:t xml:space="preserve">3.3 Automatic Background Updates</w:t>
      </w:r>
    </w:p>
    <w:p>
      <w:pPr>
        <w:pStyle w:val="FirstParagraph"/>
      </w:pPr>
      <w:r>
        <w:t xml:space="preserve">Since WordPress 3.7, the platform has supported automatic background updates for minor security releases. This means security patches can be deployed without requiring site owner intervention. The core team pushes security updates for all versions capable of background updates, ensuring broad coverage.</w:t>
      </w:r>
    </w:p>
    <w:p>
      <w:pPr>
        <w:pStyle w:val="BodyText"/>
      </w:pPr>
      <w:r>
        <w:t xml:space="preserve">Site owners can disable this feature but are strongly encouraged to keep it enabled. For enterprise environments, managed hosting providers typically handle update deployment with additional testing and rollback capabilities.</w:t>
      </w:r>
    </w:p>
    <w:bookmarkEnd w:id="27"/>
    <w:bookmarkStart w:id="28" w:name="backward-compatibility"/>
    <w:p>
      <w:pPr>
        <w:pStyle w:val="Heading3"/>
      </w:pPr>
      <w:r>
        <w:t xml:space="preserve">3.4 Backward Compatibility</w:t>
      </w:r>
    </w:p>
    <w:p>
      <w:pPr>
        <w:pStyle w:val="FirstParagraph"/>
      </w:pPr>
      <w:r>
        <w:t xml:space="preserve">WordPress maintains a strong commitment to backward compatibility. This ensures that themes, plugins, and custom code continue to function when the core software is updated, reducing friction for site owners to stay current with security releases.</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HTTP requests issued by WordPress are filtered to prevent access to loopback and private IP addresses, mitigating server-side request forgery (SSRF). The HTTP API restricts requests to standard ports and provides hooks for additional filtering. SSRF — previously a standalone category (A10) in the OWASP Top 10:2021 — is classified under Broken Access Control in the 2025 edition.</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extension ecosystem.</w:t>
      </w:r>
    </w:p>
    <w:bookmarkEnd w:id="32"/>
    <w:bookmarkStart w:id="33" w:name="a042025-cryptographic-failures"/>
    <w:p>
      <w:pPr>
        <w:pStyle w:val="Heading3"/>
      </w:pPr>
      <w:r>
        <w:t xml:space="preserve">A04:2025 — Cryptographic Failures</w:t>
      </w:r>
    </w:p>
    <w:p>
      <w:pPr>
        <w:pStyle w:val="FirstParagraph"/>
      </w:pPr>
      <w:r>
        <w:t xml:space="preserve">As of WordPress 6.8, user passwords are hashed using bcrypt by default, with SHA-384 pre-hashing to address bcrypt’s 72-byte input limit. Application passwords, password reset keys, and other security tokens use the BLAKE2b algorithm via Sodium. Sites with the necessary server support (PHP 7.2+ with the sodium or argon2 extension) can enable Argon2id hashing via the</w:t>
      </w:r>
      <w:r>
        <w:t xml:space="preserve"> </w:t>
      </w:r>
      <w:r>
        <w:rPr>
          <w:rStyle w:val="VerbatimChar"/>
        </w:rPr>
        <w:t xml:space="preserve">wp_hash_password</w:t>
      </w:r>
      <w:r>
        <w:t xml:space="preserve"> </w:t>
      </w:r>
      <w:r>
        <w:t xml:space="preserve">core 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manages authentication server-side with salted, hashed passwords and secure session cookies. Sessions are destroyed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4.1).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2"/>
        </w:numPr>
      </w:pPr>
      <w:r>
        <w:t xml:space="preserve">Enable automatic background updates for WordPress core (enabled by default since 3.7).</w:t>
      </w:r>
    </w:p>
    <w:p>
      <w:pPr>
        <w:numPr>
          <w:ilvl w:val="0"/>
          <w:numId w:val="1002"/>
        </w:numPr>
      </w:pPr>
      <w:r>
        <w:t xml:space="preserve">Establish a regular maintenance cycle for plugin and theme updates, with staging environment testing.</w:t>
      </w:r>
    </w:p>
    <w:p>
      <w:pPr>
        <w:numPr>
          <w:ilvl w:val="0"/>
          <w:numId w:val="1002"/>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2"/>
        </w:numPr>
      </w:pPr>
      <w:r>
        <w:t xml:space="preserve">Remove unused plugins and themes. Deactivated code can still be exploited if accessible on the server.</w:t>
      </w:r>
    </w:p>
    <w:p>
      <w:pPr>
        <w:numPr>
          <w:ilvl w:val="0"/>
          <w:numId w:val="1002"/>
        </w:numPr>
      </w:pPr>
      <w:r>
        <w:t xml:space="preserve">Use managed WordPress hosting that provides automatic patching with rollback capabilities.</w:t>
      </w:r>
    </w:p>
    <w:p>
      <w:pPr>
        <w:numPr>
          <w:ilvl w:val="0"/>
          <w:numId w:val="1002"/>
        </w:numPr>
      </w:pPr>
      <w:r>
        <w:t xml:space="preserve">Deploy virtual patching (e.g., via Patchstack or Cloudflare WAF rules) when a plugin security update cannot be immediately applied.</w:t>
      </w:r>
    </w:p>
    <w:bookmarkEnd w:id="41"/>
    <w:bookmarkEnd w:id="42"/>
    <w:bookmarkStart w:id="47"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3"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numPr>
          <w:ilvl w:val="0"/>
          <w:numId w:val="1003"/>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3"/>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3"/>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4"/>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4"/>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4"/>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4"/>
        </w:numPr>
      </w:pPr>
      <w:r>
        <w:rPr>
          <w:rStyle w:val="VerbatimChar"/>
        </w:rPr>
        <w:t xml:space="preserve">Strict-Transport-Security</w:t>
      </w:r>
      <w:r>
        <w:t xml:space="preserve"> </w:t>
      </w:r>
      <w:r>
        <w:t xml:space="preserve">(HSTS): Enforce HTTPS for a specified duration (e.g., one year).</w:t>
      </w:r>
    </w:p>
    <w:p>
      <w:pPr>
        <w:pStyle w:val="Compact"/>
        <w:numPr>
          <w:ilvl w:val="1"/>
          <w:numId w:val="1004"/>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4"/>
        </w:numPr>
      </w:pPr>
      <w:r>
        <w:rPr>
          <w:rStyle w:val="VerbatimChar"/>
        </w:rPr>
        <w:t xml:space="preserve">Permissions-Policy</w:t>
      </w:r>
      <w:r>
        <w:t xml:space="preserve">: Restrict browser features like geolocation, camera, and microphone.</w:t>
      </w:r>
    </w:p>
    <w:p>
      <w:pPr>
        <w:numPr>
          <w:ilvl w:val="0"/>
          <w:numId w:val="1003"/>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3"/>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3"/>
    <w:bookmarkStart w:id="44" w:name="firewall-and-network-configuration"/>
    <w:p>
      <w:pPr>
        <w:pStyle w:val="Heading3"/>
      </w:pPr>
      <w:r>
        <w:t xml:space="preserve">6.2 Firewall and Network Configuration</w:t>
      </w:r>
    </w:p>
    <w:p>
      <w:pPr>
        <w:numPr>
          <w:ilvl w:val="0"/>
          <w:numId w:val="1005"/>
        </w:numPr>
      </w:pPr>
      <w:r>
        <w:t xml:space="preserve">Deploy a host-based firewall (e.g., UFW on Ubuntu/Debian) restricting inbound traffic to required ports only (typically 80, 443, and a non-standard SSH port).</w:t>
      </w:r>
    </w:p>
    <w:p>
      <w:pPr>
        <w:numPr>
          <w:ilvl w:val="0"/>
          <w:numId w:val="1005"/>
        </w:numPr>
      </w:pPr>
      <w:r>
        <w:t xml:space="preserve">Implement Fail2Ban to detect and block malicious patterns at the server level, including integration with WordPress login logs.</w:t>
      </w:r>
    </w:p>
    <w:p>
      <w:pPr>
        <w:numPr>
          <w:ilvl w:val="0"/>
          <w:numId w:val="1005"/>
        </w:numPr>
      </w:pPr>
      <w:r>
        <w:t xml:space="preserve">Maintain IP denylists (e.g., 7G/8G rulesets) to filter known malicious traffic and bad bots.</w:t>
      </w:r>
    </w:p>
    <w:p>
      <w:pPr>
        <w:numPr>
          <w:ilvl w:val="0"/>
          <w:numId w:val="1005"/>
        </w:numPr>
      </w:pPr>
      <w:r>
        <w:t xml:space="preserve">Deploy a Web Application Firewall (WAF) at the network edge (e.g., Cloudflare) or on the server (e.g., ModSecurity 3+ with the OWASP Core Rule Set).</w:t>
      </w:r>
    </w:p>
    <w:bookmarkEnd w:id="44"/>
    <w:bookmarkStart w:id="45" w:name="php-and-server-side-components"/>
    <w:p>
      <w:pPr>
        <w:pStyle w:val="Heading3"/>
      </w:pPr>
      <w:r>
        <w:t xml:space="preserve">6.3 PHP and Server-Side Components</w:t>
      </w:r>
    </w:p>
    <w:p>
      <w:pPr>
        <w:numPr>
          <w:ilvl w:val="0"/>
          <w:numId w:val="1006"/>
        </w:numPr>
      </w:pPr>
      <w:r>
        <w:t xml:space="preserve">Keep PHP on an actively supported version. As of 2026, PHP 8.2 is in security-only support and PHP 8.3+ is recommended for new deployments.</w:t>
      </w:r>
    </w:p>
    <w:p>
      <w:pPr>
        <w:numPr>
          <w:ilvl w:val="0"/>
          <w:numId w:val="1006"/>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6"/>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w:t>
      </w:r>
    </w:p>
    <w:p>
      <w:pPr>
        <w:numPr>
          <w:ilvl w:val="0"/>
          <w:numId w:val="1006"/>
        </w:numPr>
      </w:pPr>
      <w:r>
        <w:t xml:space="preserve">Keep all server-side components (web server, database server, operating system) on supported, actively maintained versions.</w:t>
      </w:r>
    </w:p>
    <w:p>
      <w:pPr>
        <w:numPr>
          <w:ilvl w:val="0"/>
          <w:numId w:val="1006"/>
        </w:numPr>
      </w:pPr>
      <w:r>
        <w:t xml:space="preserve">Achieve an A+ grade on TLS configuration assessments (e.g., Qualys SSL Labs) by using modern cipher suites and disabling legacy protocols.</w:t>
      </w:r>
    </w:p>
    <w:p>
      <w:pPr>
        <w:numPr>
          <w:ilvl w:val="0"/>
          <w:numId w:val="1006"/>
        </w:numPr>
      </w:pPr>
      <w:r>
        <w:t xml:space="preserve">Require SSH key-based authentication; disable password-based SSH access.</w:t>
      </w:r>
    </w:p>
    <w:p>
      <w:pPr>
        <w:numPr>
          <w:ilvl w:val="0"/>
          <w:numId w:val="1006"/>
        </w:numPr>
      </w:pPr>
      <w:r>
        <w:t xml:space="preserve">Use SFTP only; disable FTP entirely.</w:t>
      </w:r>
    </w:p>
    <w:p>
      <w:pPr>
        <w:numPr>
          <w:ilvl w:val="0"/>
          <w:numId w:val="1006"/>
        </w:numPr>
      </w:pPr>
      <w:r>
        <w:t xml:space="preserve">Enforce per-site process isolation in containerized or chroot environments.</w:t>
      </w:r>
    </w:p>
    <w:p>
      <w:pPr>
        <w:numPr>
          <w:ilvl w:val="0"/>
          <w:numId w:val="1006"/>
        </w:numPr>
      </w:pPr>
      <w:r>
        <w:t xml:space="preserve">Place</w:t>
      </w:r>
      <w:r>
        <w:t xml:space="preserve"> </w:t>
      </w:r>
      <w:r>
        <w:rPr>
          <w:rStyle w:val="VerbatimChar"/>
        </w:rPr>
        <w:t xml:space="preserve">wp-config.php</w:t>
      </w:r>
      <w:r>
        <w:t xml:space="preserve"> </w:t>
      </w:r>
      <w:r>
        <w:t xml:space="preserve">above the document root where server configuration allows.</w:t>
      </w:r>
    </w:p>
    <w:bookmarkEnd w:id="45"/>
    <w:bookmarkStart w:id="46" w:name="file-permissions"/>
    <w:p>
      <w:pPr>
        <w:pStyle w:val="Heading3"/>
      </w:pPr>
      <w:r>
        <w:t xml:space="preserve">6.4 File Permissions</w:t>
      </w:r>
    </w:p>
    <w:p>
      <w:pPr>
        <w:pStyle w:val="FirstParagraph"/>
      </w:pPr>
      <w:r>
        <w:t xml:space="preserve">Restrict file permissions on WordPress files so they cannot be modified by the web server process where possible. Recommended permissions:</w:t>
      </w:r>
    </w:p>
    <w:p>
      <w:pPr>
        <w:numPr>
          <w:ilvl w:val="0"/>
          <w:numId w:val="1007"/>
        </w:numPr>
      </w:pPr>
      <w:r>
        <w:t xml:space="preserve">Directories: 755 (or 750 where group permissions are not needed).</w:t>
      </w:r>
    </w:p>
    <w:p>
      <w:pPr>
        <w:numPr>
          <w:ilvl w:val="0"/>
          <w:numId w:val="1007"/>
        </w:numPr>
      </w:pPr>
      <w:r>
        <w:t xml:space="preserve">Files: 644 (or 640).</w:t>
      </w:r>
    </w:p>
    <w:p>
      <w:pPr>
        <w:numPr>
          <w:ilvl w:val="0"/>
          <w:numId w:val="1007"/>
        </w:numPr>
      </w:pPr>
      <w:r>
        <w:t xml:space="preserve">wp-config.php: 600 or 640, owned by the system user, not the web server user.</w:t>
      </w:r>
    </w:p>
    <w:p>
      <w:pPr>
        <w:numPr>
          <w:ilvl w:val="0"/>
          <w:numId w:val="1007"/>
        </w:numPr>
      </w:pPr>
      <w:r>
        <w:t xml:space="preserve">Set</w:t>
      </w:r>
      <w:r>
        <w:t xml:space="preserve"> </w:t>
      </w:r>
      <w:r>
        <w:rPr>
          <w:rStyle w:val="VerbatimChar"/>
        </w:rPr>
        <w:t xml:space="preserve">DISALLOW_FILE_MODS</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prevent all file modifications through the WordPress admin interface, including plugin/theme installation and updates (handle these through deployment pipelines instead).</w:t>
      </w:r>
    </w:p>
    <w:bookmarkEnd w:id="46"/>
    <w:bookmarkEnd w:id="47"/>
    <w:bookmarkStart w:id="52" w:name="wordpress-application-hardening"/>
    <w:p>
      <w:pPr>
        <w:pStyle w:val="Heading2"/>
      </w:pPr>
      <w:r>
        <w:t xml:space="preserve">7. WordPress Application Hardening</w:t>
      </w:r>
    </w:p>
    <w:bookmarkStart w:id="48"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admin panel.</w:t>
      </w:r>
    </w:p>
    <w:p>
      <w:pPr>
        <w:numPr>
          <w:ilvl w:val="0"/>
          <w:numId w:val="1008"/>
        </w:numPr>
      </w:pPr>
      <w:r>
        <w:rPr>
          <w:rStyle w:val="VerbatimChar"/>
        </w:rPr>
        <w:t xml:space="preserve">DISALLOW_FILE_MODS</w:t>
      </w:r>
      <w:r>
        <w:t xml:space="preserve"> </w:t>
      </w:r>
      <w:r>
        <w:t xml:space="preserve">— Prevents all file modifications including plugin/theme uploads and updates.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48"/>
    <w:bookmarkStart w:id="49" w:name="disable-unused-features"/>
    <w:p>
      <w:pPr>
        <w:pStyle w:val="Heading3"/>
      </w:pPr>
      <w:r>
        <w:t xml:space="preserve">7.2 Disable Unused Features</w:t>
      </w:r>
    </w:p>
    <w:p>
      <w:pPr>
        <w:numPr>
          <w:ilvl w:val="0"/>
          <w:numId w:val="1009"/>
        </w:numPr>
      </w:pPr>
      <w:r>
        <w:t xml:space="preserve">Disable XML-RPC if not required (common attack vector for brute-force amplification).</w:t>
      </w:r>
    </w:p>
    <w:p>
      <w:pPr>
        <w:numPr>
          <w:ilvl w:val="0"/>
          <w:numId w:val="1009"/>
        </w:numPr>
      </w:pPr>
      <w:r>
        <w:t xml:space="preserve">Disable trackbacks and pingbacks.</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Restrict unauthenticated REST API access to prevent information leakage about site structure, content, and users. Allow specific public endpoints only where required (e.g., for decoupled front-ends or front-end search).</w:t>
      </w:r>
    </w:p>
    <w:p>
      <w:pPr>
        <w:numPr>
          <w:ilvl w:val="0"/>
          <w:numId w:val="1009"/>
        </w:numPr>
      </w:pPr>
      <w:r>
        <w:t xml:space="preserve">Disable the built-in</w:t>
      </w:r>
      <w:r>
        <w:t xml:space="preserve"> </w:t>
      </w:r>
      <w:r>
        <w:rPr>
          <w:rStyle w:val="VerbatimChar"/>
        </w:rPr>
        <w:t xml:space="preserve">wp-cron.php</w:t>
      </w:r>
      <w:r>
        <w:t xml:space="preserve"> </w:t>
      </w:r>
      <w:r>
        <w:t xml:space="preserve">pseudo-cron by setting</w:t>
      </w:r>
      <w:r>
        <w:t xml:space="preserve"> </w:t>
      </w:r>
      <w:r>
        <w:rPr>
          <w:rStyle w:val="VerbatimChar"/>
        </w:rPr>
        <w:t xml:space="preserve">DISABLE_WP_CRON</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and replace it with a system-level cron job (e.g.,</w:t>
      </w:r>
      <w:r>
        <w:t xml:space="preserve"> </w:t>
      </w:r>
      <w:r>
        <w:rPr>
          <w:rStyle w:val="VerbatimChar"/>
        </w:rPr>
        <w:t xml:space="preserve">*/5 * * * * cd /path/to/wordpress &amp;&amp; wp cron event run --due-now</w:t>
      </w:r>
      <w:r>
        <w:t xml:space="preserve">). Block direct external access to</w:t>
      </w:r>
      <w:r>
        <w:t xml:space="preserve"> </w:t>
      </w:r>
      <w:r>
        <w:rPr>
          <w:rStyle w:val="VerbatimChar"/>
        </w:rPr>
        <w:t xml:space="preserve">wp-cron.php</w:t>
      </w:r>
      <w:r>
        <w:t xml:space="preserve"> </w:t>
      </w:r>
      <w:r>
        <w:t xml:space="preserve">at the web server level. The built-in pseudo-cron fires on page loads, making execution timing unpredictable and exposing an additional PHP endpoint to resource exhaustion attacks.</w:t>
      </w:r>
    </w:p>
    <w:bookmarkEnd w:id="49"/>
    <w:bookmarkStart w:id="50" w:name="database-security"/>
    <w:p>
      <w:pPr>
        <w:pStyle w:val="Heading3"/>
      </w:pPr>
      <w:r>
        <w:t xml:space="preserve">7.3 Database Security</w:t>
      </w:r>
    </w:p>
    <w:p>
      <w:pPr>
        <w:numPr>
          <w:ilvl w:val="0"/>
          <w:numId w:val="1010"/>
        </w:numPr>
      </w:pPr>
      <w:r>
        <w:t xml:space="preserve">Use a unique, non-default database table prefix.</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0"/>
    <w:bookmarkStart w:id="51"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1"/>
    <w:bookmarkEnd w:id="52"/>
    <w:bookmarkStart w:id="58"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NordVPN’s Stolen Cookie Study (2024) analyzed 54 billion cookies on dark web markets; the 2025 follow-up found the number had grown to 94 billion — a 74% increase. Over 17% were active sessions. Session hijacking, credential stuffing, and infostealer malware represent the fastest-growing attack categories across all web platforms.</w:t>
      </w:r>
    </w:p>
    <w:bookmarkStart w:id="53" w:name="multi-factor-authentication"/>
    <w:p>
      <w:pPr>
        <w:pStyle w:val="Heading3"/>
      </w:pPr>
      <w:r>
        <w:t xml:space="preserve">8.1 Multi-Factor Authentication</w:t>
      </w:r>
    </w:p>
    <w:p>
      <w:pPr>
        <w:numPr>
          <w:ilvl w:val="0"/>
          <w:numId w:val="1012"/>
        </w:numPr>
      </w:pPr>
      <w:r>
        <w:t xml:space="preserve">Require multi-factor authentication (MFA) or two-factor authentication (2FA) for all administrator and editor accounts.</w:t>
      </w:r>
    </w:p>
    <w:p>
      <w:pPr>
        <w:numPr>
          <w:ilvl w:val="0"/>
          <w:numId w:val="1012"/>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2"/>
        </w:numPr>
      </w:pPr>
      <w:r>
        <w:t xml:space="preserve">Do not use SMS-based 2FA, as it is vulnerable to SIM-swapping attacks.</w:t>
      </w:r>
    </w:p>
    <w:p>
      <w:pPr>
        <w:numPr>
          <w:ilvl w:val="0"/>
          <w:numId w:val="1012"/>
        </w:numPr>
      </w:pPr>
      <w:r>
        <w:t xml:space="preserve">Ensure 2FA secrets are encrypted at rest in the database.</w:t>
      </w:r>
    </w:p>
    <w:p>
      <w:pPr>
        <w:numPr>
          <w:ilvl w:val="0"/>
          <w:numId w:val="1012"/>
        </w:numPr>
      </w:pPr>
      <w:r>
        <w:t xml:space="preserve">Encourage all users, including contributors and subscribers, to enable 2FA.</w:t>
      </w:r>
    </w:p>
    <w:bookmarkEnd w:id="53"/>
    <w:bookmarkStart w:id="54" w:name="privileged-action-gating"/>
    <w:p>
      <w:pPr>
        <w:pStyle w:val="Heading3"/>
      </w:pPr>
      <w:r>
        <w:t xml:space="preserve">8.2 Privileged Action Gating</w:t>
      </w:r>
    </w:p>
    <w:p>
      <w:pPr>
        <w:pStyle w:val="FirstParagraph"/>
      </w:pPr>
      <w:r>
        <w:t xml:space="preserve">Enterprise environments should implement action-gated reauthentication for high-risk operations.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4"/>
    <w:bookmarkStart w:id="55" w:name="password-policy"/>
    <w:p>
      <w:pPr>
        <w:pStyle w:val="Heading3"/>
      </w:pPr>
      <w:r>
        <w:t xml:space="preserve">8.3 Password Policy</w:t>
      </w:r>
    </w:p>
    <w:p>
      <w:pPr>
        <w:pStyle w:val="Compact"/>
        <w:numPr>
          <w:ilvl w:val="0"/>
          <w:numId w:val="1013"/>
        </w:numPr>
      </w:pPr>
      <w:r>
        <w:t xml:space="preserve">Enforce strong passwords of at least 12 characters, following NIST SP 800-63B guidelines.</w:t>
      </w:r>
    </w:p>
    <w:p>
      <w:pPr>
        <w:pStyle w:val="Compact"/>
        <w:numPr>
          <w:ilvl w:val="0"/>
          <w:numId w:val="1013"/>
        </w:numPr>
      </w:pPr>
      <w:r>
        <w:t xml:space="preserve">Block passwords found in known breach databases (e.g., Have I Been Pwned).</w:t>
      </w:r>
    </w:p>
    <w:p>
      <w:pPr>
        <w:pStyle w:val="Compact"/>
        <w:numPr>
          <w:ilvl w:val="0"/>
          <w:numId w:val="1013"/>
        </w:numPr>
      </w:pPr>
      <w:r>
        <w:t xml:space="preserve">Do not enforce arbitrary complexity rules (e.g., requiring special characters) that encourage predictable patterns; enforce length and entropy instead.</w:t>
      </w:r>
    </w:p>
    <w:p>
      <w:pPr>
        <w:pStyle w:val="Compact"/>
        <w:numPr>
          <w:ilvl w:val="0"/>
          <w:numId w:val="1013"/>
        </w:numPr>
      </w:pPr>
      <w:r>
        <w:t xml:space="preserve">On servers with the necessary PHP extensions, consider enabling Argon2id password hashing via the core</w:t>
      </w:r>
      <w:r>
        <w:t xml:space="preserve"> </w:t>
      </w:r>
      <w:r>
        <w:rPr>
          <w:rStyle w:val="VerbatimChar"/>
        </w:rPr>
        <w:t xml:space="preserve">wp_hash_password</w:t>
      </w:r>
      <w:r>
        <w:t xml:space="preserve"> </w:t>
      </w:r>
      <w:r>
        <w:t xml:space="preserve">filter for stronger resistance to GPU-accelerated brute-force attacks.</w:t>
      </w:r>
    </w:p>
    <w:bookmarkEnd w:id="55"/>
    <w:bookmarkStart w:id="56" w:name="session-management"/>
    <w:p>
      <w:pPr>
        <w:pStyle w:val="Heading3"/>
      </w:pPr>
      <w:r>
        <w:t xml:space="preserve">8.4 Session Management</w:t>
      </w:r>
    </w:p>
    <w:p>
      <w:pPr>
        <w:pStyle w:val="Compact"/>
        <w:numPr>
          <w:ilvl w:val="0"/>
          <w:numId w:val="1014"/>
        </w:numPr>
      </w:pPr>
      <w:r>
        <w:t xml:space="preserve">Enforce short maximum session lifetimes (8–24 hours for privileged users).</w:t>
      </w:r>
    </w:p>
    <w:p>
      <w:pPr>
        <w:pStyle w:val="Compact"/>
        <w:numPr>
          <w:ilvl w:val="0"/>
          <w:numId w:val="1014"/>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4"/>
        </w:numPr>
      </w:pPr>
      <w:r>
        <w:t xml:space="preserve">Automatically terminate idle sessions after a defined inactivity period.</w:t>
      </w:r>
    </w:p>
    <w:p>
      <w:pPr>
        <w:pStyle w:val="Compact"/>
        <w:numPr>
          <w:ilvl w:val="0"/>
          <w:numId w:val="1014"/>
        </w:numPr>
      </w:pPr>
      <w:r>
        <w:t xml:space="preserve">Terminate all active sessions daily at scheduled times, or on role/permission changes.</w:t>
      </w:r>
    </w:p>
    <w:bookmarkEnd w:id="56"/>
    <w:bookmarkStart w:id="57"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5"/>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5"/>
        </w:numPr>
      </w:pPr>
      <w:r>
        <w:t xml:space="preserve">Create custom roles with only the capabilities each user group requires.</w:t>
      </w:r>
    </w:p>
    <w:p>
      <w:pPr>
        <w:pStyle w:val="Compact"/>
        <w:numPr>
          <w:ilvl w:val="0"/>
          <w:numId w:val="1015"/>
        </w:numPr>
      </w:pPr>
      <w:r>
        <w:t xml:space="preserve">Define user roles and capabilities in code (</w:t>
      </w:r>
      <w:r>
        <w:rPr>
          <w:rStyle w:val="VerbatimChar"/>
        </w:rPr>
        <w:t xml:space="preserve">wp-config.php</w:t>
      </w:r>
      <w:r>
        <w:t xml:space="preserve"> </w:t>
      </w:r>
      <w:r>
        <w:t xml:space="preserve">or a must-use plugin) rather than the database, making them resistant to SQLi attacks and privilege escalation.</w:t>
      </w:r>
    </w:p>
    <w:p>
      <w:pPr>
        <w:pStyle w:val="Compact"/>
        <w:numPr>
          <w:ilvl w:val="0"/>
          <w:numId w:val="1015"/>
        </w:numPr>
      </w:pPr>
      <w:r>
        <w:t xml:space="preserve">Restrict administrator capabilities such as file upload, plugin/theme installation, and code editing by default.</w:t>
      </w:r>
    </w:p>
    <w:p>
      <w:pPr>
        <w:pStyle w:val="Compact"/>
        <w:numPr>
          <w:ilvl w:val="0"/>
          <w:numId w:val="1015"/>
        </w:numPr>
      </w:pPr>
      <w:r>
        <w:t xml:space="preserve">Implement IP or device-based allowlists for privileged accounts where feasible.</w:t>
      </w:r>
    </w:p>
    <w:p>
      <w:pPr>
        <w:pStyle w:val="Compact"/>
        <w:numPr>
          <w:ilvl w:val="0"/>
          <w:numId w:val="1015"/>
        </w:numPr>
      </w:pPr>
      <w:r>
        <w:t xml:space="preserve">Adopt trusted device verification for accounts with elevated privileges.</w:t>
      </w:r>
    </w:p>
    <w:p>
      <w:pPr>
        <w:pStyle w:val="Compact"/>
        <w:numPr>
          <w:ilvl w:val="0"/>
          <w:numId w:val="1015"/>
        </w:numPr>
      </w:pPr>
      <w:r>
        <w:t xml:space="preserve">Immediately revoke access for departed employees and terminated third-party contractors.</w:t>
      </w:r>
    </w:p>
    <w:bookmarkEnd w:id="57"/>
    <w:bookmarkEnd w:id="58"/>
    <w:bookmarkStart w:id="62" w:name="security-plugins-and-monitoring"/>
    <w:p>
      <w:pPr>
        <w:pStyle w:val="Heading2"/>
      </w:pPr>
      <w:r>
        <w:t xml:space="preserve">9. Security Plugins and Monitoring</w:t>
      </w:r>
    </w:p>
    <w:bookmarkStart w:id="59" w:name="web-application-firewall"/>
    <w:p>
      <w:pPr>
        <w:pStyle w:val="Heading3"/>
      </w:pPr>
      <w:r>
        <w:t xml:space="preserve">9.1 Web Application Firewall</w:t>
      </w:r>
    </w:p>
    <w:p>
      <w:pPr>
        <w:pStyle w:val="FirstParagraph"/>
      </w:pPr>
      <w:r>
        <w:t xml:space="preserve">Deploy a WordPress-aware WAF that provides:</w:t>
      </w:r>
    </w:p>
    <w:p>
      <w:pPr>
        <w:numPr>
          <w:ilvl w:val="0"/>
          <w:numId w:val="1016"/>
        </w:numPr>
      </w:pPr>
      <w:r>
        <w:t xml:space="preserve">Real-time threat intelligence feeds and virtual patching.</w:t>
      </w:r>
    </w:p>
    <w:p>
      <w:pPr>
        <w:numPr>
          <w:ilvl w:val="0"/>
          <w:numId w:val="1016"/>
        </w:numPr>
      </w:pPr>
      <w:r>
        <w:t xml:space="preserve">Protection against common attack patterns (SQLi, XSS, CSRF, file inclusion).</w:t>
      </w:r>
    </w:p>
    <w:p>
      <w:pPr>
        <w:numPr>
          <w:ilvl w:val="0"/>
          <w:numId w:val="1016"/>
        </w:numPr>
      </w:pPr>
      <w:r>
        <w:t xml:space="preserve">Brute-force protection with intelligent rate limiting.</w:t>
      </w:r>
    </w:p>
    <w:p>
      <w:pPr>
        <w:numPr>
          <w:ilvl w:val="0"/>
          <w:numId w:val="1016"/>
        </w:numPr>
      </w:pPr>
      <w:r>
        <w:t xml:space="preserve">Bot detection and management.</w:t>
      </w:r>
    </w:p>
    <w:p>
      <w:pPr>
        <w:pStyle w:val="FirstParagraph"/>
      </w:pPr>
      <w:r>
        <w:t xml:space="preserve">Options include Patchstack, Wordfence, Sucuri, and Cloudflare (at the network edge).</w:t>
      </w:r>
    </w:p>
    <w:bookmarkEnd w:id="59"/>
    <w:bookmarkStart w:id="60" w:name="audit-logging"/>
    <w:p>
      <w:pPr>
        <w:pStyle w:val="Heading3"/>
      </w:pPr>
      <w:r>
        <w:t xml:space="preserve">9.2 Audit Logging</w:t>
      </w:r>
    </w:p>
    <w:p>
      <w:pPr>
        <w:numPr>
          <w:ilvl w:val="0"/>
          <w:numId w:val="1017"/>
        </w:numPr>
      </w:pPr>
      <w:r>
        <w:t xml:space="preserve">Install a comprehensive audit logging plugin (e.g., WP Activity Log) that records all user activity, including logins, content changes, plugin/theme modifications, and settings changes.</w:t>
      </w:r>
    </w:p>
    <w:p>
      <w:pPr>
        <w:numPr>
          <w:ilvl w:val="0"/>
          <w:numId w:val="1017"/>
        </w:numPr>
      </w:pPr>
      <w:r>
        <w:t xml:space="preserve">Retain logs for a period consistent with your organization’s compliance requirements.</w:t>
      </w:r>
    </w:p>
    <w:p>
      <w:pPr>
        <w:numPr>
          <w:ilvl w:val="0"/>
          <w:numId w:val="1017"/>
        </w:numPr>
      </w:pPr>
      <w:r>
        <w:t xml:space="preserve">Configure log alerts for suspicious activity: failed logins, privilege escalation, file modifications, and new user account creation.</w:t>
      </w:r>
    </w:p>
    <w:p>
      <w:pPr>
        <w:numPr>
          <w:ilvl w:val="0"/>
          <w:numId w:val="1017"/>
        </w:numPr>
      </w:pPr>
      <w:r>
        <w:t xml:space="preserve">Export logs to a centralized SIEM system for correlation with other security events.</w:t>
      </w:r>
    </w:p>
    <w:bookmarkEnd w:id="60"/>
    <w:bookmarkStart w:id="61" w:name="malware-detection"/>
    <w:p>
      <w:pPr>
        <w:pStyle w:val="Heading3"/>
      </w:pPr>
      <w:r>
        <w:t xml:space="preserve">9.3 Malware Detection</w:t>
      </w:r>
    </w:p>
    <w:p>
      <w:pPr>
        <w:numPr>
          <w:ilvl w:val="0"/>
          <w:numId w:val="1018"/>
        </w:numPr>
      </w:pPr>
      <w:r>
        <w:t xml:space="preserve">Deploy server-level malware detection (e.g., Imunify360, Linux Malware Detect, ClamAV).</w:t>
      </w:r>
    </w:p>
    <w:p>
      <w:pPr>
        <w:numPr>
          <w:ilvl w:val="0"/>
          <w:numId w:val="1018"/>
        </w:numPr>
      </w:pPr>
      <w:r>
        <w:t xml:space="preserve">Schedule regular integrity checks comparing core files against known-good checksums.</w:t>
      </w:r>
    </w:p>
    <w:p>
      <w:pPr>
        <w:numPr>
          <w:ilvl w:val="0"/>
          <w:numId w:val="1018"/>
        </w:numPr>
      </w:pPr>
      <w:r>
        <w:t xml:space="preserve">Monitor for unauthorized file changes, especially in plugin and theme directories.</w:t>
      </w:r>
    </w:p>
    <w:bookmarkEnd w:id="61"/>
    <w:bookmarkEnd w:id="62"/>
    <w:bookmarkStart w:id="63"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19"/>
        </w:numPr>
      </w:pPr>
      <w:r>
        <w:t xml:space="preserve">Perform backups at the server level (not relying solely on WordPress plugins).</w:t>
      </w:r>
    </w:p>
    <w:p>
      <w:pPr>
        <w:numPr>
          <w:ilvl w:val="0"/>
          <w:numId w:val="1019"/>
        </w:numPr>
      </w:pPr>
      <w:r>
        <w:t xml:space="preserve">Store backups offsite, in a location inaccessible from the production environment.</w:t>
      </w:r>
    </w:p>
    <w:p>
      <w:pPr>
        <w:numPr>
          <w:ilvl w:val="0"/>
          <w:numId w:val="1019"/>
        </w:numPr>
      </w:pPr>
      <w:r>
        <w:t xml:space="preserve">Encrypt backup data both in transit and at rest.</w:t>
      </w:r>
    </w:p>
    <w:p>
      <w:pPr>
        <w:numPr>
          <w:ilvl w:val="0"/>
          <w:numId w:val="1019"/>
        </w:numPr>
      </w:pPr>
      <w:r>
        <w:t xml:space="preserve">Test backup restoration procedures regularly (at least quarterly).</w:t>
      </w:r>
    </w:p>
    <w:p>
      <w:pPr>
        <w:numPr>
          <w:ilvl w:val="0"/>
          <w:numId w:val="1019"/>
        </w:numPr>
      </w:pPr>
      <w:r>
        <w:t xml:space="preserve">Maintain multiple backup generations with sufficient retention to recover from undetected compromises.</w:t>
      </w:r>
    </w:p>
    <w:p>
      <w:pPr>
        <w:numPr>
          <w:ilvl w:val="0"/>
          <w:numId w:val="1019"/>
        </w:numPr>
      </w:pPr>
      <w:r>
        <w:t xml:space="preserve">Document the recovery procedure and assign clear ownership.</w:t>
      </w:r>
    </w:p>
    <w:bookmarkEnd w:id="63"/>
    <w:bookmarkStart w:id="68"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extension, making the vetting and management of extensions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4"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bookmarkEnd w:id="64"/>
    <w:bookmarkStart w:id="65" w:name="plugin-and-theme-management"/>
    <w:p>
      <w:pPr>
        <w:pStyle w:val="Heading3"/>
      </w:pPr>
      <w:r>
        <w:t xml:space="preserve">11.2 Plugin and Theme Management</w:t>
      </w:r>
    </w:p>
    <w:p>
      <w:pPr>
        <w:pStyle w:val="Compact"/>
        <w:numPr>
          <w:ilvl w:val="0"/>
          <w:numId w:val="1020"/>
        </w:numPr>
      </w:pPr>
      <w:r>
        <w:t xml:space="preserve">Only install plugins and themes from trusted sources (WordPress.org repository, reputable commercial vendors).</w:t>
      </w:r>
    </w:p>
    <w:p>
      <w:pPr>
        <w:pStyle w:val="Compact"/>
        <w:numPr>
          <w:ilvl w:val="0"/>
          <w:numId w:val="1020"/>
        </w:numPr>
      </w:pPr>
      <w:r>
        <w:t xml:space="preserve">Evaluate plugins for active maintenance, update frequency, known vulnerabilities, and code quality before deployment.</w:t>
      </w:r>
    </w:p>
    <w:p>
      <w:pPr>
        <w:pStyle w:val="Compact"/>
        <w:numPr>
          <w:ilvl w:val="0"/>
          <w:numId w:val="1020"/>
        </w:numPr>
      </w:pPr>
      <w:r>
        <w:t xml:space="preserve">Remove all unused plugins and themes from the server (deactivation alone is insufficient).</w:t>
      </w:r>
    </w:p>
    <w:p>
      <w:pPr>
        <w:pStyle w:val="Compact"/>
        <w:numPr>
          <w:ilvl w:val="0"/>
          <w:numId w:val="1020"/>
        </w:numPr>
      </w:pPr>
      <w:r>
        <w:t xml:space="preserve">Monitor plugin vulnerability disclosures and apply patches promptly.</w:t>
      </w:r>
    </w:p>
    <w:bookmarkEnd w:id="65"/>
    <w:bookmarkStart w:id="66" w:name="internal-toolchain-security"/>
    <w:p>
      <w:pPr>
        <w:pStyle w:val="Heading3"/>
      </w:pPr>
      <w:r>
        <w:t xml:space="preserve">11.3 Internal Toolchain Security</w:t>
      </w:r>
    </w:p>
    <w:p>
      <w:pPr>
        <w:pStyle w:val="Compact"/>
        <w:numPr>
          <w:ilvl w:val="0"/>
          <w:numId w:val="1021"/>
        </w:numPr>
      </w:pPr>
      <w:r>
        <w:t xml:space="preserve">Verify the integrity of build and deployment tools.</w:t>
      </w:r>
    </w:p>
    <w:p>
      <w:pPr>
        <w:pStyle w:val="Compact"/>
        <w:numPr>
          <w:ilvl w:val="0"/>
          <w:numId w:val="1021"/>
        </w:numPr>
      </w:pPr>
      <w:r>
        <w:t xml:space="preserve">Use version-controlled, auditable deployment pipelines.</w:t>
      </w:r>
    </w:p>
    <w:p>
      <w:pPr>
        <w:pStyle w:val="Compact"/>
        <w:numPr>
          <w:ilvl w:val="0"/>
          <w:numId w:val="1021"/>
        </w:numPr>
      </w:pPr>
      <w:r>
        <w:t xml:space="preserve">Pin dependency versions and verify checksums for all external packages.</w:t>
      </w:r>
    </w:p>
    <w:p>
      <w:pPr>
        <w:pStyle w:val="Compact"/>
        <w:numPr>
          <w:ilvl w:val="0"/>
          <w:numId w:val="1021"/>
        </w:numPr>
      </w:pPr>
      <w:r>
        <w:t xml:space="preserve">Conduct code reviews for custom plugins and theme code before deployment.</w:t>
      </w:r>
    </w:p>
    <w:bookmarkEnd w:id="66"/>
    <w:bookmarkStart w:id="67"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67"/>
    <w:bookmarkEnd w:id="68"/>
    <w:bookmarkStart w:id="74"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69" w:name="employee-and-third-party-access-policies"/>
    <w:p>
      <w:pPr>
        <w:pStyle w:val="Heading3"/>
      </w:pPr>
      <w:r>
        <w:t xml:space="preserve">12.1 Employee and Third-Party Access Policies</w:t>
      </w:r>
    </w:p>
    <w:p>
      <w:pPr>
        <w:numPr>
          <w:ilvl w:val="0"/>
          <w:numId w:val="1022"/>
        </w:numPr>
      </w:pPr>
      <w:r>
        <w:t xml:space="preserve">Require 2FA and VPN for all remote access to WordPress admin interfaces.</w:t>
      </w:r>
    </w:p>
    <w:p>
      <w:pPr>
        <w:numPr>
          <w:ilvl w:val="0"/>
          <w:numId w:val="1022"/>
        </w:numPr>
      </w:pPr>
      <w:r>
        <w:t xml:space="preserve">Require timely OS and software updates on all devices used to access WordPress.</w:t>
      </w:r>
    </w:p>
    <w:p>
      <w:pPr>
        <w:numPr>
          <w:ilvl w:val="0"/>
          <w:numId w:val="1022"/>
        </w:numPr>
      </w:pPr>
      <w:r>
        <w:t xml:space="preserve">Require email scanning for malware and endpoint protection software.</w:t>
      </w:r>
    </w:p>
    <w:p>
      <w:pPr>
        <w:numPr>
          <w:ilvl w:val="0"/>
          <w:numId w:val="1022"/>
        </w:numPr>
      </w:pPr>
      <w:r>
        <w:t xml:space="preserve">Address phishing and social engineering in employee onboarding and recurring training.</w:t>
      </w:r>
    </w:p>
    <w:p>
      <w:pPr>
        <w:numPr>
          <w:ilvl w:val="0"/>
          <w:numId w:val="1022"/>
        </w:numPr>
      </w:pPr>
      <w:r>
        <w:t xml:space="preserve">Define and enforce a BYOD policy or restrict administrative access to managed devices.</w:t>
      </w:r>
    </w:p>
    <w:p>
      <w:pPr>
        <w:numPr>
          <w:ilvl w:val="0"/>
          <w:numId w:val="1022"/>
        </w:numPr>
      </w:pPr>
      <w:r>
        <w:t xml:space="preserve">Terminate access promptly when employees or contractors depart.</w:t>
      </w:r>
    </w:p>
    <w:bookmarkEnd w:id="69"/>
    <w:bookmarkStart w:id="70" w:name="security-policies-and-governance"/>
    <w:p>
      <w:pPr>
        <w:pStyle w:val="Heading3"/>
      </w:pPr>
      <w:r>
        <w:t xml:space="preserve">12.2 Security Policies and Governance</w:t>
      </w:r>
    </w:p>
    <w:p>
      <w:pPr>
        <w:numPr>
          <w:ilvl w:val="0"/>
          <w:numId w:val="1023"/>
        </w:numPr>
      </w:pPr>
      <w:r>
        <w:t xml:space="preserve">Define and enforce a written user security policy covering password standards, session management, and acceptable use.</w:t>
      </w:r>
    </w:p>
    <w:p>
      <w:pPr>
        <w:numPr>
          <w:ilvl w:val="0"/>
          <w:numId w:val="1023"/>
        </w:numPr>
      </w:pPr>
      <w:r>
        <w:t xml:space="preserve">Adopt a Zero-Trust model: continuously verify active users regardless of network location.</w:t>
      </w:r>
    </w:p>
    <w:p>
      <w:pPr>
        <w:numPr>
          <w:ilvl w:val="0"/>
          <w:numId w:val="1023"/>
        </w:numPr>
      </w:pPr>
      <w:r>
        <w:t xml:space="preserve">Establish software version management and update policies with defined SLAs.</w:t>
      </w:r>
    </w:p>
    <w:p>
      <w:pPr>
        <w:numPr>
          <w:ilvl w:val="0"/>
          <w:numId w:val="1023"/>
        </w:numPr>
      </w:pPr>
      <w:r>
        <w:t xml:space="preserve">Define security metrics and conduct regular audits (internal and external).</w:t>
      </w:r>
    </w:p>
    <w:p>
      <w:pPr>
        <w:numPr>
          <w:ilvl w:val="0"/>
          <w:numId w:val="1023"/>
        </w:numPr>
      </w:pPr>
      <w:r>
        <w:t xml:space="preserve">Create, document, and practice an incident response plan with assigned roles (see Section 12.3).</w:t>
      </w:r>
    </w:p>
    <w:p>
      <w:pPr>
        <w:numPr>
          <w:ilvl w:val="0"/>
          <w:numId w:val="1023"/>
        </w:numPr>
      </w:pPr>
      <w:r>
        <w:t xml:space="preserve">Maintain a disaster recovery plan integrated with the business continuity plan.</w:t>
      </w:r>
    </w:p>
    <w:p>
      <w:pPr>
        <w:numPr>
          <w:ilvl w:val="0"/>
          <w:numId w:val="1023"/>
        </w:numPr>
      </w:pPr>
      <w:r>
        <w:t xml:space="preserve">Require written SLAs with hosting providers and third-party data handlers that address security, privacy, and compliance.</w:t>
      </w:r>
    </w:p>
    <w:p>
      <w:pPr>
        <w:numPr>
          <w:ilvl w:val="0"/>
          <w:numId w:val="1023"/>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0"/>
    <w:bookmarkStart w:id="71"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 NIST SP 800-61:</w:t>
      </w:r>
    </w:p>
    <w:p>
      <w:pPr>
        <w:numPr>
          <w:ilvl w:val="0"/>
          <w:numId w:val="1024"/>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4"/>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4"/>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4"/>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4"/>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4"/>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bookmarkEnd w:id="71"/>
    <w:bookmarkStart w:id="72" w:name="building-a-security-first-culture"/>
    <w:p>
      <w:pPr>
        <w:pStyle w:val="Heading3"/>
      </w:pPr>
      <w:r>
        <w:t xml:space="preserve">12.4 Building a Security-First Culture</w:t>
      </w:r>
    </w:p>
    <w:p>
      <w:pPr>
        <w:pStyle w:val="FirstParagraph"/>
      </w:pPr>
      <w:r>
        <w:t xml:space="preserve">The Gartner Security and Risk Management Summit (2024) concluded that third-party breaches are inevitable, and IBM’s Cost of a Data Breach Report (2025) confirms this: 65% of breached organizations reported they had not fully recovered. Organizations should focus on resilience in addition to prevention, and on fostering behavioral change over mere awareness:</w:t>
      </w:r>
    </w:p>
    <w:p>
      <w:pPr>
        <w:numPr>
          <w:ilvl w:val="0"/>
          <w:numId w:val="1025"/>
        </w:numPr>
      </w:pPr>
      <w:r>
        <w:t xml:space="preserve">Train teams with simulated breach scenarios and tabletop exercises.</w:t>
      </w:r>
    </w:p>
    <w:p>
      <w:pPr>
        <w:numPr>
          <w:ilvl w:val="0"/>
          <w:numId w:val="1025"/>
        </w:numPr>
      </w:pPr>
      <w:r>
        <w:t xml:space="preserve">Make security practices habitual, not just policy documents.</w:t>
      </w:r>
    </w:p>
    <w:p>
      <w:pPr>
        <w:numPr>
          <w:ilvl w:val="0"/>
          <w:numId w:val="1025"/>
        </w:numPr>
      </w:pPr>
      <w:r>
        <w:t xml:space="preserve">Ensure norms, values, and assumptions across the organization align with security goals.</w:t>
      </w:r>
    </w:p>
    <w:p>
      <w:pPr>
        <w:numPr>
          <w:ilvl w:val="0"/>
          <w:numId w:val="1025"/>
        </w:numPr>
      </w:pPr>
      <w:r>
        <w:t xml:space="preserve">Empower all team members to identify and report potential compromise.</w:t>
      </w:r>
    </w:p>
    <w:bookmarkEnd w:id="72"/>
    <w:bookmarkStart w:id="73"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6"/>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6"/>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6"/>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6"/>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6"/>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6"/>
        </w:numPr>
      </w:pPr>
      <w:r>
        <w:rPr>
          <w:b/>
          <w:bCs/>
        </w:rPr>
        <w:t xml:space="preserve">Retention Policies:</w:t>
      </w:r>
      <w:r>
        <w:t xml:space="preserve"> </w:t>
      </w:r>
      <w:r>
        <w:t xml:space="preserve">Define and enforce data retention schedules. Automatically purge data that is no longer needed for its stated purpose.</w:t>
      </w:r>
    </w:p>
    <w:bookmarkEnd w:id="73"/>
    <w:bookmarkEnd w:id="74"/>
    <w:bookmarkStart w:id="75"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7"/>
        </w:numPr>
      </w:pPr>
      <w:r>
        <w:t xml:space="preserve">Per-site process isolation in containerized or chroot environments.</w:t>
      </w:r>
    </w:p>
    <w:p>
      <w:pPr>
        <w:pStyle w:val="Compact"/>
        <w:numPr>
          <w:ilvl w:val="0"/>
          <w:numId w:val="1027"/>
        </w:numPr>
      </w:pPr>
      <w:r>
        <w:t xml:space="preserve">Managed, automated patching for the full server stack (OS, PHP, database, web server).</w:t>
      </w:r>
    </w:p>
    <w:p>
      <w:pPr>
        <w:pStyle w:val="Compact"/>
        <w:numPr>
          <w:ilvl w:val="0"/>
          <w:numId w:val="1027"/>
        </w:numPr>
      </w:pPr>
      <w:r>
        <w:t xml:space="preserve">Multiple upstream security layers (network-level DDoS mitigation, WAF, intrusion detection).</w:t>
      </w:r>
    </w:p>
    <w:p>
      <w:pPr>
        <w:pStyle w:val="Compact"/>
        <w:numPr>
          <w:ilvl w:val="0"/>
          <w:numId w:val="1027"/>
        </w:numPr>
      </w:pPr>
      <w:r>
        <w:t xml:space="preserve">Automated, offsite backups with tested recovery procedures.</w:t>
      </w:r>
    </w:p>
    <w:p>
      <w:pPr>
        <w:pStyle w:val="Compact"/>
        <w:numPr>
          <w:ilvl w:val="0"/>
          <w:numId w:val="1027"/>
        </w:numPr>
      </w:pPr>
      <w:r>
        <w:t xml:space="preserve">Relevant certifications: SOC 2, PCI DSS, GDPR-aligned data processing agreements, and for government/education, FedRAMP or equivalent.</w:t>
      </w:r>
    </w:p>
    <w:p>
      <w:pPr>
        <w:pStyle w:val="Compact"/>
        <w:numPr>
          <w:ilvl w:val="0"/>
          <w:numId w:val="1027"/>
        </w:numPr>
      </w:pPr>
      <w:r>
        <w:t xml:space="preserve">An immutable filesystem where applicable, preventing runtime file modifications.</w:t>
      </w:r>
    </w:p>
    <w:p>
      <w:pPr>
        <w:pStyle w:val="FirstParagraph"/>
      </w:pPr>
      <w:r>
        <w:t xml:space="preserve">Leading enterprise WordPress hosts—including WordPress VIP, WP Engine, and Pantheon—hold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75"/>
    <w:bookmarkStart w:id="79" w:name="generative-ai-security-in-wordpress"/>
    <w:p>
      <w:pPr>
        <w:pStyle w:val="Heading2"/>
      </w:pPr>
      <w:r>
        <w:t xml:space="preserve">14. Generative AI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76"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8"/>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8"/>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76"/>
    <w:bookmarkStart w:id="77"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77"/>
    <w:bookmarkStart w:id="78" w:name="securing-ai-integrations-in-wordpress"/>
    <w:p>
      <w:pPr>
        <w:pStyle w:val="Heading3"/>
      </w:pPr>
      <w:r>
        <w:t xml:space="preserve">14.3 Securing AI Integrations in WordPress</w:t>
      </w:r>
    </w:p>
    <w:p>
      <w:pPr>
        <w:pStyle w:val="Compact"/>
        <w:numPr>
          <w:ilvl w:val="0"/>
          <w:numId w:val="1029"/>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29"/>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29"/>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29"/>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29"/>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29"/>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78"/>
    <w:bookmarkEnd w:id="79"/>
    <w:bookmarkStart w:id="98" w:name="additional-resources"/>
    <w:p>
      <w:pPr>
        <w:pStyle w:val="Heading2"/>
      </w:pPr>
      <w:r>
        <w:t xml:space="preserve">15. Additional Resources</w:t>
      </w:r>
    </w:p>
    <w:bookmarkStart w:id="84" w:name="wordpress-security-documentation"/>
    <w:p>
      <w:pPr>
        <w:pStyle w:val="Heading3"/>
      </w:pPr>
      <w:r>
        <w:t xml:space="preserve">15.1 WordPress Security Documentation</w:t>
      </w:r>
    </w:p>
    <w:p>
      <w:pPr>
        <w:pStyle w:val="Compact"/>
        <w:numPr>
          <w:ilvl w:val="0"/>
          <w:numId w:val="1030"/>
        </w:numPr>
      </w:pPr>
      <w:hyperlink r:id="rId80">
        <w:r>
          <w:rPr>
            <w:rStyle w:val="Hyperlink"/>
          </w:rPr>
          <w:t xml:space="preserve">Hardening WordPress — Advanced Administration Handbook</w:t>
        </w:r>
      </w:hyperlink>
    </w:p>
    <w:p>
      <w:pPr>
        <w:pStyle w:val="Compact"/>
        <w:numPr>
          <w:ilvl w:val="0"/>
          <w:numId w:val="1030"/>
        </w:numPr>
      </w:pPr>
      <w:hyperlink r:id="rId81">
        <w:r>
          <w:rPr>
            <w:rStyle w:val="Hyperlink"/>
          </w:rPr>
          <w:t xml:space="preserve">WordPress Security White Paper (developer.wordpress.org)</w:t>
        </w:r>
      </w:hyperlink>
    </w:p>
    <w:p>
      <w:pPr>
        <w:pStyle w:val="Compact"/>
        <w:numPr>
          <w:ilvl w:val="0"/>
          <w:numId w:val="1030"/>
        </w:numPr>
      </w:pPr>
      <w:hyperlink r:id="rId82">
        <w:r>
          <w:rPr>
            <w:rStyle w:val="Hyperlink"/>
          </w:rPr>
          <w:t xml:space="preserve">Brute Force Attacks (developer.wordpress.org)</w:t>
        </w:r>
      </w:hyperlink>
    </w:p>
    <w:p>
      <w:pPr>
        <w:pStyle w:val="Compact"/>
        <w:numPr>
          <w:ilvl w:val="0"/>
          <w:numId w:val="1030"/>
        </w:numPr>
      </w:pPr>
      <w:hyperlink r:id="rId83">
        <w:r>
          <w:rPr>
            <w:rStyle w:val="Hyperlink"/>
          </w:rPr>
          <w:t xml:space="preserve">WordPress VIP Security Best Practices</w:t>
        </w:r>
      </w:hyperlink>
    </w:p>
    <w:bookmarkEnd w:id="84"/>
    <w:bookmarkStart w:id="89" w:name="threat-intelligence-and-industry-reports"/>
    <w:p>
      <w:pPr>
        <w:pStyle w:val="Heading3"/>
      </w:pPr>
      <w:r>
        <w:t xml:space="preserve">15.2 Threat Intelligence and Industry Reports</w:t>
      </w:r>
    </w:p>
    <w:p>
      <w:pPr>
        <w:pStyle w:val="Compact"/>
        <w:numPr>
          <w:ilvl w:val="0"/>
          <w:numId w:val="1031"/>
        </w:numPr>
      </w:pPr>
      <w:hyperlink r:id="rId85">
        <w:r>
          <w:rPr>
            <w:rStyle w:val="Hyperlink"/>
          </w:rPr>
          <w:t xml:space="preserve">OWASP Top 10:2025 Web Application Security Risks</w:t>
        </w:r>
      </w:hyperlink>
    </w:p>
    <w:p>
      <w:pPr>
        <w:pStyle w:val="Compact"/>
        <w:numPr>
          <w:ilvl w:val="0"/>
          <w:numId w:val="1031"/>
        </w:numPr>
      </w:pPr>
      <w:hyperlink r:id="rId86">
        <w:r>
          <w:rPr>
            <w:rStyle w:val="Hyperlink"/>
          </w:rPr>
          <w:t xml:space="preserve">Verizon Data Breach Investigations Report</w:t>
        </w:r>
      </w:hyperlink>
    </w:p>
    <w:p>
      <w:pPr>
        <w:pStyle w:val="Compact"/>
        <w:numPr>
          <w:ilvl w:val="0"/>
          <w:numId w:val="1031"/>
        </w:numPr>
      </w:pPr>
      <w:hyperlink r:id="rId87">
        <w:r>
          <w:rPr>
            <w:rStyle w:val="Hyperlink"/>
          </w:rPr>
          <w:t xml:space="preserve">IBM X-Force Threat Intelligence Index</w:t>
        </w:r>
      </w:hyperlink>
    </w:p>
    <w:p>
      <w:pPr>
        <w:pStyle w:val="Compact"/>
        <w:numPr>
          <w:ilvl w:val="0"/>
          <w:numId w:val="1031"/>
        </w:numPr>
      </w:pPr>
      <w:hyperlink r:id="rId88">
        <w:r>
          <w:rPr>
            <w:rStyle w:val="Hyperlink"/>
          </w:rPr>
          <w:t xml:space="preserve">IBM Cost of a Data Breach Report</w:t>
        </w:r>
      </w:hyperlink>
    </w:p>
    <w:bookmarkEnd w:id="89"/>
    <w:bookmarkStart w:id="94" w:name="standards-and-frameworks"/>
    <w:p>
      <w:pPr>
        <w:pStyle w:val="Heading3"/>
      </w:pPr>
      <w:r>
        <w:t xml:space="preserve">15.3 Standards and Frameworks</w:t>
      </w:r>
    </w:p>
    <w:p>
      <w:pPr>
        <w:pStyle w:val="Compact"/>
        <w:numPr>
          <w:ilvl w:val="0"/>
          <w:numId w:val="1032"/>
        </w:numPr>
      </w:pPr>
      <w:hyperlink r:id="rId90">
        <w:r>
          <w:rPr>
            <w:rStyle w:val="Hyperlink"/>
          </w:rPr>
          <w:t xml:space="preserve">NIST SP 800-63B: Digital Identity Guidelines — Authentication</w:t>
        </w:r>
      </w:hyperlink>
    </w:p>
    <w:p>
      <w:pPr>
        <w:pStyle w:val="Compact"/>
        <w:numPr>
          <w:ilvl w:val="0"/>
          <w:numId w:val="1032"/>
        </w:numPr>
      </w:pPr>
      <w:hyperlink r:id="rId91">
        <w:r>
          <w:rPr>
            <w:rStyle w:val="Hyperlink"/>
          </w:rPr>
          <w:t xml:space="preserve">NIST SP 800-61: Computer Security Incident Handling Guide</w:t>
        </w:r>
      </w:hyperlink>
    </w:p>
    <w:p>
      <w:pPr>
        <w:pStyle w:val="Compact"/>
        <w:numPr>
          <w:ilvl w:val="0"/>
          <w:numId w:val="1032"/>
        </w:numPr>
      </w:pPr>
      <w:hyperlink r:id="rId92">
        <w:r>
          <w:rPr>
            <w:rStyle w:val="Hyperlink"/>
          </w:rPr>
          <w:t xml:space="preserve">CIS Benchmarks</w:t>
        </w:r>
      </w:hyperlink>
    </w:p>
    <w:p>
      <w:pPr>
        <w:pStyle w:val="Compact"/>
        <w:numPr>
          <w:ilvl w:val="0"/>
          <w:numId w:val="1032"/>
        </w:numPr>
      </w:pPr>
      <w:hyperlink r:id="rId93">
        <w:r>
          <w:rPr>
            <w:rStyle w:val="Hyperlink"/>
          </w:rPr>
          <w:t xml:space="preserve">ISO/IEC 27000: Information Security Management</w:t>
        </w:r>
      </w:hyperlink>
    </w:p>
    <w:bookmarkEnd w:id="94"/>
    <w:bookmarkStart w:id="97" w:name="X00fc8c82620e041623f6fee31e62d29d538d53d"/>
    <w:p>
      <w:pPr>
        <w:pStyle w:val="Heading3"/>
      </w:pPr>
      <w:r>
        <w:t xml:space="preserve">15.4 Security Culture and Organizational Practices</w:t>
      </w:r>
    </w:p>
    <w:p>
      <w:pPr>
        <w:pStyle w:val="Compact"/>
        <w:numPr>
          <w:ilvl w:val="0"/>
          <w:numId w:val="1033"/>
        </w:numPr>
      </w:pPr>
      <w:hyperlink r:id="rId95">
        <w:r>
          <w:rPr>
            <w:rStyle w:val="Hyperlink"/>
          </w:rPr>
          <w:t xml:space="preserve">KnowBe4: Security Culture</w:t>
        </w:r>
      </w:hyperlink>
    </w:p>
    <w:p>
      <w:pPr>
        <w:pStyle w:val="Compact"/>
        <w:numPr>
          <w:ilvl w:val="0"/>
          <w:numId w:val="1033"/>
        </w:numPr>
      </w:pPr>
      <w:hyperlink r:id="rId96">
        <w:r>
          <w:rPr>
            <w:rStyle w:val="Hyperlink"/>
          </w:rPr>
          <w:t xml:space="preserve">NIST: Users Are Not Stupid — Six Cyber Security Pitfalls Overturned</w:t>
        </w:r>
      </w:hyperlink>
    </w:p>
    <w:bookmarkEnd w:id="97"/>
    <w:bookmarkEnd w:id="98"/>
    <w:bookmarkStart w:id="101" w:name="related-documents"/>
    <w:p>
      <w:pPr>
        <w:pStyle w:val="Heading2"/>
      </w:pPr>
      <w:r>
        <w:t xml:space="preserve">Related Documents</w:t>
      </w:r>
    </w:p>
    <w:p>
      <w:pPr>
        <w:pStyle w:val="Compact"/>
        <w:numPr>
          <w:ilvl w:val="0"/>
          <w:numId w:val="1034"/>
        </w:numPr>
      </w:pPr>
      <w:hyperlink r:id="rId99">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4"/>
        </w:numPr>
      </w:pPr>
      <w:hyperlink r:id="rId100">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4"/>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81">
        <w:r>
          <w:rPr>
            <w:rStyle w:val="Hyperlink"/>
          </w:rPr>
          <w:t xml:space="preserve">developer.wordpress.org</w:t>
        </w:r>
      </w:hyperlink>
      <w:r>
        <w:t xml:space="preserve">.</w:t>
      </w:r>
    </w:p>
    <w:bookmarkEnd w:id="101"/>
    <w:bookmarkStart w:id="103" w:name="license-and-attribution"/>
    <w:p>
      <w:pPr>
        <w:pStyle w:val="Heading2"/>
      </w:pPr>
      <w:r>
        <w:t xml:space="preserve">License and Attribution</w:t>
      </w:r>
    </w:p>
    <w:p>
      <w:pPr>
        <w:pStyle w:val="FirstParagraph"/>
      </w:pPr>
      <w:r>
        <w:t xml:space="preserve">This document is licensed under the</w:t>
      </w:r>
      <w:r>
        <w:t xml:space="preserve"> </w:t>
      </w:r>
      <w:hyperlink r:id="rId102">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2" Target="https://creativecommons.org/licenses/by-sa/4.0/" TargetMode="External" /><Relationship Type="http://schemas.openxmlformats.org/officeDocument/2006/relationships/hyperlink" Id="rId91" Target="https://csrc.nist.gov/pubs/sp/800/61/r2/final" TargetMode="External" /><Relationship Type="http://schemas.openxmlformats.org/officeDocument/2006/relationships/hyperlink" Id="rId82" Target="https://developer.wordpress.org/advanced-administration/security/brute-force/" TargetMode="External" /><Relationship Type="http://schemas.openxmlformats.org/officeDocument/2006/relationships/hyperlink" Id="rId80" Target="https://developer.wordpress.org/advanced-administration/security/hardening/" TargetMode="External" /><Relationship Type="http://schemas.openxmlformats.org/officeDocument/2006/relationships/hyperlink" Id="rId81" Target="https://developer.wordpress.org/apis/security/" TargetMode="External" /><Relationship Type="http://schemas.openxmlformats.org/officeDocument/2006/relationships/hyperlink" Id="rId83" Target="https://docs.wpvip.com/security/" TargetMode="External" /><Relationship Type="http://schemas.openxmlformats.org/officeDocument/2006/relationships/hyperlink" Id="rId99" Target="https://github.com/dknauss/wp-security-benchmark" TargetMode="External" /><Relationship Type="http://schemas.openxmlformats.org/officeDocument/2006/relationships/hyperlink" Id="rId100" Target="https://github.com/dknauss/wp-security-style-guide" TargetMode="External" /><Relationship Type="http://schemas.openxmlformats.org/officeDocument/2006/relationships/hyperlink" Id="rId24" Target="https://hackerone.com/wordpress" TargetMode="External" /><Relationship Type="http://schemas.openxmlformats.org/officeDocument/2006/relationships/hyperlink" Id="rId85" Target="https://owasp.org/Top10/2025/" TargetMode="External" /><Relationship Type="http://schemas.openxmlformats.org/officeDocument/2006/relationships/hyperlink" Id="rId90" Target="https://pages.nist.gov/800-63-3/sp800-63b.html" TargetMode="External" /><Relationship Type="http://schemas.openxmlformats.org/officeDocument/2006/relationships/hyperlink" Id="rId23" Target="https://wordpress.org/about/security/" TargetMode="External" /><Relationship Type="http://schemas.openxmlformats.org/officeDocument/2006/relationships/hyperlink" Id="rId92" Target="https://www.cisecurity.org/cis-benchmarks" TargetMode="External" /><Relationship Type="http://schemas.openxmlformats.org/officeDocument/2006/relationships/hyperlink" Id="rId88" Target="https://www.ibm.com/reports/data-breach" TargetMode="External" /><Relationship Type="http://schemas.openxmlformats.org/officeDocument/2006/relationships/hyperlink" Id="rId87" Target="https://www.ibm.com/reports/threat-intelligence" TargetMode="External" /><Relationship Type="http://schemas.openxmlformats.org/officeDocument/2006/relationships/hyperlink" Id="rId93" Target="https://www.iso.org/standard/73906.html" TargetMode="External" /><Relationship Type="http://schemas.openxmlformats.org/officeDocument/2006/relationships/hyperlink" Id="rId95" Target="https://www.knowbe4.com/security-culture" TargetMode="External" /><Relationship Type="http://schemas.openxmlformats.org/officeDocument/2006/relationships/hyperlink" Id="rId96" Target="https://www.nist.gov/" TargetMode="External" /><Relationship Type="http://schemas.openxmlformats.org/officeDocument/2006/relationships/hyperlink" Id="rId86"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102" Target="https://creativecommons.org/licenses/by-sa/4.0/" TargetMode="External" /><Relationship Type="http://schemas.openxmlformats.org/officeDocument/2006/relationships/hyperlink" Id="rId91" Target="https://csrc.nist.gov/pubs/sp/800/61/r2/final" TargetMode="External" /><Relationship Type="http://schemas.openxmlformats.org/officeDocument/2006/relationships/hyperlink" Id="rId82" Target="https://developer.wordpress.org/advanced-administration/security/brute-force/" TargetMode="External" /><Relationship Type="http://schemas.openxmlformats.org/officeDocument/2006/relationships/hyperlink" Id="rId80" Target="https://developer.wordpress.org/advanced-administration/security/hardening/" TargetMode="External" /><Relationship Type="http://schemas.openxmlformats.org/officeDocument/2006/relationships/hyperlink" Id="rId81" Target="https://developer.wordpress.org/apis/security/" TargetMode="External" /><Relationship Type="http://schemas.openxmlformats.org/officeDocument/2006/relationships/hyperlink" Id="rId83" Target="https://docs.wpvip.com/security/" TargetMode="External" /><Relationship Type="http://schemas.openxmlformats.org/officeDocument/2006/relationships/hyperlink" Id="rId99" Target="https://github.com/dknauss/wp-security-benchmark" TargetMode="External" /><Relationship Type="http://schemas.openxmlformats.org/officeDocument/2006/relationships/hyperlink" Id="rId100" Target="https://github.com/dknauss/wp-security-style-guide" TargetMode="External" /><Relationship Type="http://schemas.openxmlformats.org/officeDocument/2006/relationships/hyperlink" Id="rId24" Target="https://hackerone.com/wordpress" TargetMode="External" /><Relationship Type="http://schemas.openxmlformats.org/officeDocument/2006/relationships/hyperlink" Id="rId85" Target="https://owasp.org/Top10/2025/" TargetMode="External" /><Relationship Type="http://schemas.openxmlformats.org/officeDocument/2006/relationships/hyperlink" Id="rId90" Target="https://pages.nist.gov/800-63-3/sp800-63b.html" TargetMode="External" /><Relationship Type="http://schemas.openxmlformats.org/officeDocument/2006/relationships/hyperlink" Id="rId23" Target="https://wordpress.org/about/security/" TargetMode="External" /><Relationship Type="http://schemas.openxmlformats.org/officeDocument/2006/relationships/hyperlink" Id="rId92" Target="https://www.cisecurity.org/cis-benchmarks" TargetMode="External" /><Relationship Type="http://schemas.openxmlformats.org/officeDocument/2006/relationships/hyperlink" Id="rId88" Target="https://www.ibm.com/reports/data-breach" TargetMode="External" /><Relationship Type="http://schemas.openxmlformats.org/officeDocument/2006/relationships/hyperlink" Id="rId87" Target="https://www.ibm.com/reports/threat-intelligence" TargetMode="External" /><Relationship Type="http://schemas.openxmlformats.org/officeDocument/2006/relationships/hyperlink" Id="rId93" Target="https://www.iso.org/standard/73906.html" TargetMode="External" /><Relationship Type="http://schemas.openxmlformats.org/officeDocument/2006/relationships/hyperlink" Id="rId95" Target="https://www.knowbe4.com/security-culture" TargetMode="External" /><Relationship Type="http://schemas.openxmlformats.org/officeDocument/2006/relationships/hyperlink" Id="rId96" Target="https://www.nist.gov/" TargetMode="External" /><Relationship Type="http://schemas.openxmlformats.org/officeDocument/2006/relationships/hyperlink" Id="rId86"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 — DRAFT</dc:title>
  <dc:creator/>
  <cp:keywords/>
  <dcterms:created xsi:type="dcterms:W3CDTF">2026-03-01T19:48:40Z</dcterms:created>
  <dcterms:modified xsi:type="dcterms:W3CDTF">2026-03-01T19:48:40Z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ies>
</file>