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30"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4">
        <w:r>
          <w:rPr>
            <w:rStyle w:val="Hyperlink"/>
          </w:rPr>
          <w:t xml:space="preserve">WordPress Security White Paper</w:t>
        </w:r>
      </w:hyperlink>
      <w:r>
        <w:t xml:space="preserve">.</w:t>
      </w:r>
    </w:p>
    <w:bookmarkEnd w:id="25"/>
    <w:bookmarkStart w:id="27"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6">
        <w:r>
          <w:rPr>
            <w:rStyle w:val="Hyperlink"/>
          </w:rPr>
          <w:t xml:space="preserve">WordPress Release Cycle documentation</w:t>
        </w:r>
      </w:hyperlink>
      <w:r>
        <w:t xml:space="preserve"> </w:t>
      </w:r>
      <w:r>
        <w:t xml:space="preserve">for process details.</w:t>
      </w:r>
    </w:p>
    <w:bookmarkEnd w:id="27"/>
    <w:bookmarkStart w:id="28"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4.1.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8"/>
    <w:bookmarkStart w:id="29"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9"/>
    <w:bookmarkEnd w:id="30"/>
    <w:bookmarkStart w:id="41"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1"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1"/>
    <w:bookmarkStart w:id="32"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2"/>
    <w:bookmarkStart w:id="33"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3"/>
    <w:bookmarkStart w:id="34"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7.2+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4"/>
    <w:bookmarkStart w:id="35"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5"/>
    <w:bookmarkStart w:id="36"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6"/>
    <w:bookmarkStart w:id="37"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7"/>
    <w:bookmarkStart w:id="38"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8"/>
    <w:bookmarkStart w:id="39"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9"/>
    <w:bookmarkStart w:id="40"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0"/>
    <w:bookmarkEnd w:id="41"/>
    <w:bookmarkStart w:id="43"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2"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2"/>
    <w:bookmarkEnd w:id="43"/>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7" w:name="file-permissions"/>
    <w:p>
      <w:pPr>
        <w:pStyle w:val="Heading3"/>
      </w:pPr>
      <w:r>
        <w:t xml:space="preserve">6.4 File Permissions</w:t>
      </w:r>
    </w:p>
    <w:p>
      <w:pPr>
        <w:pStyle w:val="FirstParagraph"/>
      </w:pPr>
      <w:r>
        <w:t xml:space="preserve">Restrict file permissions and ownership using a documented least-privilege model.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7"/>
    <w:bookmarkEnd w:id="48"/>
    <w:bookmarkStart w:id="54"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(for example,</w:t>
      </w:r>
      <w:r>
        <w:t xml:space="preserve"> </w:t>
      </w:r>
      <w:r>
        <w:rPr>
          <w:rStyle w:val="VerbatimChar"/>
        </w:rPr>
        <w:t xml:space="preserve">*/5 * * * * cd /path/to/wordpress &amp;&amp; wp cron event run --due-now</w:t>
      </w:r>
      <w:r>
        <w:t xml:space="preserve">). Treat this primarily as an operations/reliability control, with secondary security benefits.</w:t>
      </w:r>
    </w:p>
    <w:bookmarkEnd w:id="50"/>
    <w:bookmarkStart w:id="51" w:name="database-security"/>
    <w:p>
      <w:pPr>
        <w:pStyle w:val="Heading3"/>
      </w:pPr>
      <w:r>
        <w:t xml:space="preserve">7.3 Database Security</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Start w:id="53"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3"/>
    <w:bookmarkEnd w:id="54"/>
    <w:bookmarkStart w:id="60"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5"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bookmarkEnd w:id="55"/>
    <w:bookmarkStart w:id="56"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6"/>
    <w:bookmarkStart w:id="57"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7"/>
    <w:bookmarkStart w:id="58"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58"/>
    <w:bookmarkStart w:id="59"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59"/>
    <w:bookmarkEnd w:id="60"/>
    <w:bookmarkStart w:id="64" w:name="security-plugins-and-monitoring"/>
    <w:p>
      <w:pPr>
        <w:pStyle w:val="Heading2"/>
      </w:pPr>
      <w:r>
        <w:t xml:space="preserve">9. Security Plugins and Monitoring</w:t>
      </w:r>
    </w:p>
    <w:bookmarkStart w:id="61"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1"/>
    <w:bookmarkStart w:id="62"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2"/>
    <w:bookmarkStart w:id="63"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3"/>
    <w:bookmarkEnd w:id="64"/>
    <w:bookmarkStart w:id="65"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5"/>
    <w:bookmarkStart w:id="70"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6"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6"/>
    <w:bookmarkStart w:id="67"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7"/>
    <w:bookmarkStart w:id="68"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68"/>
    <w:bookmarkStart w:id="69"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9"/>
    <w:bookmarkEnd w:id="70"/>
    <w:bookmarkStart w:id="76"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1"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1"/>
    <w:bookmarkStart w:id="72"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2"/>
    <w:bookmarkStart w:id="73"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3"/>
    <w:bookmarkStart w:id="74"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4"/>
    <w:bookmarkStart w:id="75"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5"/>
    <w:bookmarkEnd w:id="76"/>
    <w:bookmarkStart w:id="77"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7"/>
    <w:bookmarkStart w:id="81"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8"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8"/>
    <w:bookmarkStart w:id="79"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9"/>
    <w:bookmarkStart w:id="80"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0"/>
    <w:bookmarkEnd w:id="81"/>
    <w:bookmarkStart w:id="105" w:name="additional-resources"/>
    <w:p>
      <w:pPr>
        <w:pStyle w:val="Heading2"/>
      </w:pPr>
      <w:r>
        <w:t xml:space="preserve">15. Additional Resources</w:t>
      </w:r>
    </w:p>
    <w:bookmarkStart w:id="85" w:name="wordpress-security-documentation"/>
    <w:p>
      <w:pPr>
        <w:pStyle w:val="Heading3"/>
      </w:pPr>
      <w:r>
        <w:t xml:space="preserve">15.1 WordPress Security Documentation</w:t>
      </w:r>
    </w:p>
    <w:p>
      <w:pPr>
        <w:pStyle w:val="Compact"/>
        <w:numPr>
          <w:ilvl w:val="0"/>
          <w:numId w:val="1031"/>
        </w:numPr>
      </w:pPr>
      <w:hyperlink r:id="rId82">
        <w:r>
          <w:rPr>
            <w:rStyle w:val="Hyperlink"/>
          </w:rPr>
          <w:t xml:space="preserve">Hardening WordPress — Advanced Administration Handbook</w:t>
        </w:r>
      </w:hyperlink>
    </w:p>
    <w:p>
      <w:pPr>
        <w:pStyle w:val="Compact"/>
        <w:numPr>
          <w:ilvl w:val="0"/>
          <w:numId w:val="1031"/>
        </w:numPr>
      </w:pPr>
      <w:hyperlink r:id="rId24">
        <w:r>
          <w:rPr>
            <w:rStyle w:val="Hyperlink"/>
          </w:rPr>
          <w:t xml:space="preserve">WordPress Security White Paper (developer.wordpress.org)</w:t>
        </w:r>
      </w:hyperlink>
    </w:p>
    <w:p>
      <w:pPr>
        <w:pStyle w:val="Compact"/>
        <w:numPr>
          <w:ilvl w:val="0"/>
          <w:numId w:val="1031"/>
        </w:numPr>
      </w:pPr>
      <w:hyperlink r:id="rId83">
        <w:r>
          <w:rPr>
            <w:rStyle w:val="Hyperlink"/>
          </w:rPr>
          <w:t xml:space="preserve">Brute Force Attacks (developer.wordpress.org)</w:t>
        </w:r>
      </w:hyperlink>
    </w:p>
    <w:p>
      <w:pPr>
        <w:pStyle w:val="Compact"/>
        <w:numPr>
          <w:ilvl w:val="0"/>
          <w:numId w:val="1031"/>
        </w:numPr>
      </w:pPr>
      <w:hyperlink r:id="rId84">
        <w:r>
          <w:rPr>
            <w:rStyle w:val="Hyperlink"/>
          </w:rPr>
          <w:t xml:space="preserve">WordPress VIP Security Best Practices</w:t>
        </w:r>
      </w:hyperlink>
    </w:p>
    <w:bookmarkEnd w:id="85"/>
    <w:bookmarkStart w:id="94" w:name="threat-intelligence-and-industry-reports"/>
    <w:p>
      <w:pPr>
        <w:pStyle w:val="Heading3"/>
      </w:pPr>
      <w:r>
        <w:t xml:space="preserve">15.2 Threat Intelligence and Industry Reports</w:t>
      </w:r>
    </w:p>
    <w:p>
      <w:pPr>
        <w:pStyle w:val="Compact"/>
        <w:numPr>
          <w:ilvl w:val="0"/>
          <w:numId w:val="1032"/>
        </w:numPr>
      </w:pPr>
      <w:hyperlink r:id="rId86">
        <w:r>
          <w:rPr>
            <w:rStyle w:val="Hyperlink"/>
          </w:rPr>
          <w:t xml:space="preserve">OWASP Top 10:2025 Web Application Security Risks</w:t>
        </w:r>
      </w:hyperlink>
    </w:p>
    <w:p>
      <w:pPr>
        <w:pStyle w:val="Compact"/>
        <w:numPr>
          <w:ilvl w:val="0"/>
          <w:numId w:val="1032"/>
        </w:numPr>
      </w:pPr>
      <w:hyperlink r:id="rId87">
        <w:r>
          <w:rPr>
            <w:rStyle w:val="Hyperlink"/>
          </w:rPr>
          <w:t xml:space="preserve">Patchstack State of WordPress Security (annual whitepaper)</w:t>
        </w:r>
      </w:hyperlink>
    </w:p>
    <w:p>
      <w:pPr>
        <w:pStyle w:val="Compact"/>
        <w:numPr>
          <w:ilvl w:val="0"/>
          <w:numId w:val="1032"/>
        </w:numPr>
      </w:pPr>
      <w:hyperlink r:id="rId88">
        <w:r>
          <w:rPr>
            <w:rStyle w:val="Hyperlink"/>
          </w:rPr>
          <w:t xml:space="preserve">Wordfence Annual WordPress Security Report</w:t>
        </w:r>
      </w:hyperlink>
    </w:p>
    <w:p>
      <w:pPr>
        <w:pStyle w:val="Compact"/>
        <w:numPr>
          <w:ilvl w:val="0"/>
          <w:numId w:val="1032"/>
        </w:numPr>
      </w:pPr>
      <w:hyperlink r:id="rId89">
        <w:r>
          <w:rPr>
            <w:rStyle w:val="Hyperlink"/>
          </w:rPr>
          <w:t xml:space="preserve">Sucuri Website Threat Research Report</w:t>
        </w:r>
      </w:hyperlink>
    </w:p>
    <w:p>
      <w:pPr>
        <w:pStyle w:val="Compact"/>
        <w:numPr>
          <w:ilvl w:val="0"/>
          <w:numId w:val="1032"/>
        </w:numPr>
      </w:pPr>
      <w:hyperlink r:id="rId90">
        <w:r>
          <w:rPr>
            <w:rStyle w:val="Hyperlink"/>
          </w:rPr>
          <w:t xml:space="preserve">Verizon Data Breach Investigations Report</w:t>
        </w:r>
      </w:hyperlink>
    </w:p>
    <w:p>
      <w:pPr>
        <w:pStyle w:val="Compact"/>
        <w:numPr>
          <w:ilvl w:val="0"/>
          <w:numId w:val="1032"/>
        </w:numPr>
      </w:pPr>
      <w:hyperlink r:id="rId91">
        <w:r>
          <w:rPr>
            <w:rStyle w:val="Hyperlink"/>
          </w:rPr>
          <w:t xml:space="preserve">IBM X-Force Threat Intelligence Index</w:t>
        </w:r>
      </w:hyperlink>
    </w:p>
    <w:p>
      <w:pPr>
        <w:pStyle w:val="Compact"/>
        <w:numPr>
          <w:ilvl w:val="0"/>
          <w:numId w:val="1032"/>
        </w:numPr>
      </w:pPr>
      <w:hyperlink r:id="rId92">
        <w:r>
          <w:rPr>
            <w:rStyle w:val="Hyperlink"/>
          </w:rPr>
          <w:t xml:space="preserve">IBM Cost of a Data Breach Report</w:t>
        </w:r>
      </w:hyperlink>
    </w:p>
    <w:p>
      <w:pPr>
        <w:pStyle w:val="Compact"/>
        <w:numPr>
          <w:ilvl w:val="0"/>
          <w:numId w:val="1032"/>
        </w:numPr>
      </w:pPr>
      <w:hyperlink r:id="rId93">
        <w:r>
          <w:rPr>
            <w:rStyle w:val="Hyperlink"/>
          </w:rPr>
          <w:t xml:space="preserve">CISA Known Exploited Vulnerabilities Catalog</w:t>
        </w:r>
      </w:hyperlink>
    </w:p>
    <w:bookmarkEnd w:id="94"/>
    <w:bookmarkStart w:id="99" w:name="standards-and-frameworks"/>
    <w:p>
      <w:pPr>
        <w:pStyle w:val="Heading3"/>
      </w:pPr>
      <w:r>
        <w:t xml:space="preserve">15.3 Standards and Frameworks</w:t>
      </w:r>
    </w:p>
    <w:p>
      <w:pPr>
        <w:pStyle w:val="Compact"/>
        <w:numPr>
          <w:ilvl w:val="0"/>
          <w:numId w:val="1033"/>
        </w:numPr>
      </w:pPr>
      <w:hyperlink r:id="rId95">
        <w:r>
          <w:rPr>
            <w:rStyle w:val="Hyperlink"/>
          </w:rPr>
          <w:t xml:space="preserve">NIST SP 800-63B: Digital Identity Guidelines — Authentication</w:t>
        </w:r>
      </w:hyperlink>
    </w:p>
    <w:p>
      <w:pPr>
        <w:pStyle w:val="Compact"/>
        <w:numPr>
          <w:ilvl w:val="0"/>
          <w:numId w:val="1033"/>
        </w:numPr>
      </w:pPr>
      <w:hyperlink r:id="rId96">
        <w:r>
          <w:rPr>
            <w:rStyle w:val="Hyperlink"/>
          </w:rPr>
          <w:t xml:space="preserve">NIST SP 800-61: Computer Security Incident Handling Guide</w:t>
        </w:r>
      </w:hyperlink>
    </w:p>
    <w:p>
      <w:pPr>
        <w:pStyle w:val="Compact"/>
        <w:numPr>
          <w:ilvl w:val="0"/>
          <w:numId w:val="1033"/>
        </w:numPr>
      </w:pPr>
      <w:hyperlink r:id="rId97">
        <w:r>
          <w:rPr>
            <w:rStyle w:val="Hyperlink"/>
          </w:rPr>
          <w:t xml:space="preserve">CIS Benchmarks</w:t>
        </w:r>
      </w:hyperlink>
    </w:p>
    <w:p>
      <w:pPr>
        <w:pStyle w:val="Compact"/>
        <w:numPr>
          <w:ilvl w:val="0"/>
          <w:numId w:val="1033"/>
        </w:numPr>
      </w:pPr>
      <w:hyperlink r:id="rId98">
        <w:r>
          <w:rPr>
            <w:rStyle w:val="Hyperlink"/>
          </w:rPr>
          <w:t xml:space="preserve">ISO/IEC 27000: Information Security Management</w:t>
        </w:r>
      </w:hyperlink>
    </w:p>
    <w:bookmarkEnd w:id="99"/>
    <w:bookmarkStart w:id="102" w:name="X00fc8c82620e041623f6fee31e62d29d538d53d"/>
    <w:p>
      <w:pPr>
        <w:pStyle w:val="Heading3"/>
      </w:pPr>
      <w:r>
        <w:t xml:space="preserve">15.4 Security Culture and Organizational Practices</w:t>
      </w:r>
    </w:p>
    <w:p>
      <w:pPr>
        <w:pStyle w:val="Compact"/>
        <w:numPr>
          <w:ilvl w:val="0"/>
          <w:numId w:val="1034"/>
        </w:numPr>
      </w:pPr>
      <w:hyperlink r:id="rId100">
        <w:r>
          <w:rPr>
            <w:rStyle w:val="Hyperlink"/>
          </w:rPr>
          <w:t xml:space="preserve">KnowBe4: Security Culture</w:t>
        </w:r>
      </w:hyperlink>
    </w:p>
    <w:p>
      <w:pPr>
        <w:pStyle w:val="Compact"/>
        <w:numPr>
          <w:ilvl w:val="0"/>
          <w:numId w:val="1034"/>
        </w:numPr>
      </w:pPr>
      <w:hyperlink r:id="rId101">
        <w:r>
          <w:rPr>
            <w:rStyle w:val="Hyperlink"/>
          </w:rPr>
          <w:t xml:space="preserve">NIST: Users Are Not Stupid — Six Cyber Security Pitfalls Overturned</w:t>
        </w:r>
      </w:hyperlink>
    </w:p>
    <w:bookmarkEnd w:id="102"/>
    <w:bookmarkStart w:id="103"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3"/>
    <w:bookmarkStart w:id="104"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4"/>
    <w:bookmarkEnd w:id="105"/>
    <w:bookmarkStart w:id="108" w:name="related-documents"/>
    <w:p>
      <w:pPr>
        <w:pStyle w:val="Heading2"/>
      </w:pPr>
      <w:r>
        <w:t xml:space="preserve">Related Documents</w:t>
      </w:r>
    </w:p>
    <w:p>
      <w:pPr>
        <w:pStyle w:val="Compact"/>
        <w:numPr>
          <w:ilvl w:val="0"/>
          <w:numId w:val="1036"/>
        </w:numPr>
      </w:pPr>
      <w:hyperlink r:id="rId106">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10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4">
        <w:r>
          <w:rPr>
            <w:rStyle w:val="Hyperlink"/>
          </w:rPr>
          <w:t xml:space="preserve">developer.wordpress.org</w:t>
        </w:r>
      </w:hyperlink>
      <w:r>
        <w:t xml:space="preserve">.</w:t>
      </w:r>
    </w:p>
    <w:bookmarkEnd w:id="108"/>
    <w:bookmarkStart w:id="110" w:name="license-and-attribution"/>
    <w:p>
      <w:pPr>
        <w:pStyle w:val="Heading2"/>
      </w:pPr>
      <w:r>
        <w:t xml:space="preserve">License and Attribution</w:t>
      </w:r>
    </w:p>
    <w:p>
      <w:pPr>
        <w:pStyle w:val="FirstParagraph"/>
      </w:pPr>
      <w:r>
        <w:t xml:space="preserve">This document is licensed under the</w:t>
      </w:r>
      <w:r>
        <w:t xml:space="preserve"> </w:t>
      </w:r>
      <w:hyperlink r:id="rId10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9"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09"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2026-03-03T06:09:11Z</dcterms:created>
  <dcterms:modified xsi:type="dcterms:W3CDTF">2026-03-03T06:09:11Z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