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4" w:name="X80d91a36c545fea7e80f4eed758dc2aeeeb403a"/>
    <w:p>
      <w:pPr>
        <w:pStyle w:val="Heading1"/>
      </w:pPr>
      <w:r>
        <w:t xml:space="preserve">WordPress Security Architecture and Hardening Guide — DRAFT</w:t>
      </w:r>
    </w:p>
    <w:p>
      <w:pPr>
        <w:pStyle w:val="FirstParagraph"/>
      </w:pPr>
      <w:r>
        <w:rPr>
          <w:b/>
          <w:bCs/>
        </w:rPr>
        <w:t xml:space="preserve">Enterprise Best Practices and Threat Mitigation</w:t>
      </w:r>
    </w:p>
    <w:p>
      <w:pPr>
        <w:pStyle w:val="BodyText"/>
      </w:pPr>
      <w:r>
        <w:t xml:space="preserve">An analysis of the security architecture, processes, and best practices of the WordPress content management system</w:t>
      </w:r>
    </w:p>
    <w:p>
      <w:pPr>
        <w:pStyle w:val="BodyText"/>
      </w:pPr>
      <w:r>
        <w:t xml:space="preserve">Dan Knauss</w:t>
      </w:r>
      <w:r>
        <w:t xml:space="preserve"> </w:t>
      </w:r>
      <w:r>
        <w:t xml:space="preserve">February 16, 2026</w:t>
      </w:r>
    </w:p>
    <w:p>
      <w:r>
        <w:pict>
          <v:rect style="width:0;height:1.5pt" o:hralign="center" o:hrstd="t" o:hr="t"/>
        </w:pict>
      </w:r>
    </w:p>
    <w:bookmarkStart w:id="20" w:name="contents"/>
    <w:p>
      <w:pPr>
        <w:pStyle w:val="Heading2"/>
      </w:pPr>
      <w:r>
        <w:t xml:space="preserve">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20cba072e2183a5280741d6f3a40a0749a343d5">
        <w:r>
          <w:rPr>
            <w:rStyle w:val="Hyperlink"/>
          </w:rPr>
          <w:t xml:space="preserve">Executive Summary</w:t>
        </w:r>
      </w:hyperlink>
    </w:p>
    <w:p>
      <w:pPr>
        <w:pStyle w:val="Compact"/>
        <w:numPr>
          <w:ilvl w:val="0"/>
          <w:numId w:val="1001"/>
        </w:numPr>
      </w:pPr>
      <w:hyperlink w:anchor="Xa0e5d83e8c16d5f5988666695efe9724c8589a0">
        <w:r>
          <w:rPr>
            <w:rStyle w:val="Hyperlink"/>
          </w:rPr>
          <w:t xml:space="preserve">WordPress Core Security Architecture</w:t>
        </w:r>
      </w:hyperlink>
    </w:p>
    <w:p>
      <w:pPr>
        <w:pStyle w:val="Compact"/>
        <w:numPr>
          <w:ilvl w:val="0"/>
          <w:numId w:val="1001"/>
        </w:numPr>
      </w:pPr>
      <w:hyperlink w:anchor="X7d93616a1aafff416abb4ab218b6b65ebc0cfff">
        <w:r>
          <w:rPr>
            <w:rStyle w:val="Hyperlink"/>
          </w:rPr>
          <w:t xml:space="preserve">OWASP Top 10 Coverage (2025)</w:t>
        </w:r>
      </w:hyperlink>
    </w:p>
    <w:p>
      <w:pPr>
        <w:pStyle w:val="Compact"/>
        <w:numPr>
          <w:ilvl w:val="0"/>
          <w:numId w:val="1001"/>
        </w:numPr>
      </w:pPr>
      <w:hyperlink w:anchor="X50386fb885837f2ab1a98904958c33d3291cee1">
        <w:r>
          <w:rPr>
            <w:rStyle w:val="Hyperlink"/>
          </w:rPr>
          <w:t xml:space="preserve">Keeping WordPress Up to Date</w:t>
        </w:r>
      </w:hyperlink>
    </w:p>
    <w:p>
      <w:pPr>
        <w:pStyle w:val="Compact"/>
        <w:numPr>
          <w:ilvl w:val="0"/>
          <w:numId w:val="1001"/>
        </w:numPr>
      </w:pPr>
      <w:hyperlink w:anchor="Xae6c8282fe6eeae6b6b8b91417e87abb160ad04">
        <w:r>
          <w:rPr>
            <w:rStyle w:val="Hyperlink"/>
          </w:rPr>
          <w:t xml:space="preserve">Server Hardening</w:t>
        </w:r>
      </w:hyperlink>
    </w:p>
    <w:p>
      <w:pPr>
        <w:pStyle w:val="Compact"/>
        <w:numPr>
          <w:ilvl w:val="0"/>
          <w:numId w:val="1001"/>
        </w:numPr>
      </w:pPr>
      <w:hyperlink w:anchor="Xa08873478fda406528a29cdae1728bfde55ecef">
        <w:r>
          <w:rPr>
            <w:rStyle w:val="Hyperlink"/>
          </w:rPr>
          <w:t xml:space="preserve">WordPress Application Hardening</w:t>
        </w:r>
      </w:hyperlink>
    </w:p>
    <w:p>
      <w:pPr>
        <w:pStyle w:val="Compact"/>
        <w:numPr>
          <w:ilvl w:val="0"/>
          <w:numId w:val="1001"/>
        </w:numPr>
      </w:pPr>
      <w:hyperlink w:anchor="Xf5060fbf30c9ddbb4bfc75156b75cc3aee02c1a">
        <w:r>
          <w:rPr>
            <w:rStyle w:val="Hyperlink"/>
          </w:rPr>
          <w:t xml:space="preserve">User Authentication and Session Security</w:t>
        </w:r>
      </w:hyperlink>
    </w:p>
    <w:p>
      <w:pPr>
        <w:pStyle w:val="Compact"/>
        <w:numPr>
          <w:ilvl w:val="0"/>
          <w:numId w:val="1001"/>
        </w:numPr>
      </w:pPr>
      <w:hyperlink w:anchor="Xfcfd83990790cc3e08098d4b0a97bdb12c4bcdc">
        <w:r>
          <w:rPr>
            <w:rStyle w:val="Hyperlink"/>
          </w:rPr>
          <w:t xml:space="preserve">Security Plugins and Monitoring</w:t>
        </w:r>
      </w:hyperlink>
    </w:p>
    <w:p>
      <w:pPr>
        <w:pStyle w:val="Compact"/>
        <w:numPr>
          <w:ilvl w:val="0"/>
          <w:numId w:val="1001"/>
        </w:numPr>
      </w:pPr>
      <w:hyperlink w:anchor="Xd7eecf8cabb389463292d5df454fc4c5ac7b6d0">
        <w:r>
          <w:rPr>
            <w:rStyle w:val="Hyperlink"/>
          </w:rPr>
          <w:t xml:space="preserve">Backup and Recovery</w:t>
        </w:r>
      </w:hyperlink>
    </w:p>
    <w:p>
      <w:pPr>
        <w:pStyle w:val="Compact"/>
        <w:numPr>
          <w:ilvl w:val="0"/>
          <w:numId w:val="1001"/>
        </w:numPr>
      </w:pPr>
      <w:hyperlink w:anchor="X854e998f0e37a64b5ee98b50ae2901cb7e8debc">
        <w:r>
          <w:rPr>
            <w:rStyle w:val="Hyperlink"/>
          </w:rPr>
          <w:t xml:space="preserve">Supply Chain Security</w:t>
        </w:r>
      </w:hyperlink>
    </w:p>
    <w:p>
      <w:pPr>
        <w:pStyle w:val="Compact"/>
        <w:numPr>
          <w:ilvl w:val="0"/>
          <w:numId w:val="1001"/>
        </w:numPr>
      </w:pPr>
      <w:hyperlink w:anchor="X9c7de4c54e0bee35a8ab2bc96017fcf114a5a57">
        <w:r>
          <w:rPr>
            <w:rStyle w:val="Hyperlink"/>
          </w:rPr>
          <w:t xml:space="preserve">Organizational Security Practices</w:t>
        </w:r>
      </w:hyperlink>
    </w:p>
    <w:p>
      <w:pPr>
        <w:pStyle w:val="Compact"/>
        <w:numPr>
          <w:ilvl w:val="0"/>
          <w:numId w:val="1001"/>
        </w:numPr>
      </w:pPr>
      <w:hyperlink w:anchor="Xa35b124d76cfe8fa17f53779b76e3aaf0b8c78c">
        <w:r>
          <w:rPr>
            <w:rStyle w:val="Hyperlink"/>
          </w:rPr>
          <w:t xml:space="preserve">The Role of the Hosting Provider</w:t>
        </w:r>
      </w:hyperlink>
    </w:p>
    <w:p>
      <w:pPr>
        <w:pStyle w:val="Compact"/>
        <w:numPr>
          <w:ilvl w:val="0"/>
          <w:numId w:val="1001"/>
        </w:numPr>
      </w:pPr>
      <w:hyperlink w:anchor="X74a88df14a4a40bc73241f50a889b3f2b4c0740">
        <w:r>
          <w:rPr>
            <w:rStyle w:val="Hyperlink"/>
          </w:rPr>
          <w:t xml:space="preserve">Generative AI Security in WordPress</w:t>
        </w:r>
      </w:hyperlink>
    </w:p>
    <w:p>
      <w:pPr>
        <w:pStyle w:val="Compact"/>
        <w:numPr>
          <w:ilvl w:val="0"/>
          <w:numId w:val="1001"/>
        </w:numPr>
      </w:pPr>
      <w:hyperlink w:anchor="X9af047e18e901f0aeab826fde7825119e765e51">
        <w:r>
          <w:rPr>
            <w:rStyle w:val="Hyperlink"/>
          </w:rPr>
          <w:t xml:space="preserve">Additional Resources</w:t>
        </w:r>
      </w:hyperlink>
    </w:p>
    <w:p>
      <w:r>
        <w:pict>
          <v:rect style="width:0;height:1.5pt" o:hralign="center" o:hrstd="t" o:hr="t"/>
        </w:pict>
      </w:r>
    </w:p>
    <w:bookmarkEnd w:id="20"/>
    <w:bookmarkStart w:id="21"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1"/>
    <w:bookmarkStart w:id="22"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2"/>
    <w:bookmarkStart w:id="29"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3">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4">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5"/>
    <w:bookmarkStart w:id="26"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6"/>
    <w:bookmarkStart w:id="27"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7"/>
    <w:bookmarkStart w:id="28"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2"/>
    <w:bookmarkStart w:id="33"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2"/>
        </w:numPr>
      </w:pPr>
      <w:r>
        <w:t xml:space="preserve">Enable automatic background updates for WordPress core (enabled by default since 3.7).</w:t>
      </w:r>
    </w:p>
    <w:p>
      <w:pPr>
        <w:numPr>
          <w:ilvl w:val="0"/>
          <w:numId w:val="1002"/>
        </w:numPr>
      </w:pPr>
      <w:r>
        <w:t xml:space="preserve">Establish a regular maintenance cycle for plugin and theme updates, with staging environment testing.</w:t>
      </w:r>
    </w:p>
    <w:p>
      <w:pPr>
        <w:numPr>
          <w:ilvl w:val="0"/>
          <w:numId w:val="1002"/>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2"/>
        </w:numPr>
      </w:pPr>
      <w:r>
        <w:t xml:space="preserve">Remove unused plugins and themes. Deactivated code can still be exploited if accessible on the server.</w:t>
      </w:r>
    </w:p>
    <w:p>
      <w:pPr>
        <w:numPr>
          <w:ilvl w:val="0"/>
          <w:numId w:val="1002"/>
        </w:numPr>
      </w:pPr>
      <w:r>
        <w:t xml:space="preserve">Use managed WordPress hosting that provides automatic patching with rollback capabilities.</w:t>
      </w:r>
    </w:p>
    <w:p>
      <w:pPr>
        <w:numPr>
          <w:ilvl w:val="0"/>
          <w:numId w:val="1002"/>
        </w:numPr>
      </w:pPr>
      <w:r>
        <w:t xml:space="preserve">Deploy virtual patching (e.g., via Patchstack or Cloudflare WAF rules) when a plugin security update cannot be immediately applied.</w:t>
      </w:r>
    </w:p>
    <w:bookmarkEnd w:id="41"/>
    <w:bookmarkEnd w:id="42"/>
    <w:bookmarkStart w:id="47"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3"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3"/>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3"/>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3"/>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4"/>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4"/>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4"/>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4"/>
        </w:numPr>
      </w:pPr>
      <w:r>
        <w:rPr>
          <w:rStyle w:val="VerbatimChar"/>
        </w:rPr>
        <w:t xml:space="preserve">Strict-Transport-Security</w:t>
      </w:r>
      <w:r>
        <w:t xml:space="preserve"> </w:t>
      </w:r>
      <w:r>
        <w:t xml:space="preserve">(HSTS): Enforce HTTPS for a specified duration (e.g., one year).</w:t>
      </w:r>
    </w:p>
    <w:p>
      <w:pPr>
        <w:pStyle w:val="Compact"/>
        <w:numPr>
          <w:ilvl w:val="1"/>
          <w:numId w:val="1004"/>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4"/>
        </w:numPr>
      </w:pPr>
      <w:r>
        <w:rPr>
          <w:rStyle w:val="VerbatimChar"/>
        </w:rPr>
        <w:t xml:space="preserve">Permissions-Policy</w:t>
      </w:r>
      <w:r>
        <w:t xml:space="preserve">: Restrict browser features like geolocation, camera, and microphone.</w:t>
      </w:r>
    </w:p>
    <w:p>
      <w:pPr>
        <w:numPr>
          <w:ilvl w:val="0"/>
          <w:numId w:val="1003"/>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3"/>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3"/>
    <w:bookmarkStart w:id="44" w:name="firewall-and-network-configuration"/>
    <w:p>
      <w:pPr>
        <w:pStyle w:val="Heading3"/>
      </w:pPr>
      <w:r>
        <w:t xml:space="preserve">6.2 Firewall and Network Configuration</w:t>
      </w:r>
    </w:p>
    <w:p>
      <w:pPr>
        <w:numPr>
          <w:ilvl w:val="0"/>
          <w:numId w:val="1005"/>
        </w:numPr>
      </w:pPr>
      <w:r>
        <w:t xml:space="preserve">Deploy a host-based firewall (e.g., UFW on Ubuntu/Debian) restricting inbound traffic to required ports only (typically 80, 443, and a non-standard SSH port).</w:t>
      </w:r>
    </w:p>
    <w:p>
      <w:pPr>
        <w:numPr>
          <w:ilvl w:val="0"/>
          <w:numId w:val="1005"/>
        </w:numPr>
      </w:pPr>
      <w:r>
        <w:t xml:space="preserve">Implement Fail2Ban to detect and block malicious patterns at the server level, including integration with WordPress login logs.</w:t>
      </w:r>
    </w:p>
    <w:p>
      <w:pPr>
        <w:numPr>
          <w:ilvl w:val="0"/>
          <w:numId w:val="1005"/>
        </w:numPr>
      </w:pPr>
      <w:r>
        <w:t xml:space="preserve">Maintain IP denylists (e.g., 7G/8G rulesets) to filter known malicious traffic and bad bots.</w:t>
      </w:r>
    </w:p>
    <w:p>
      <w:pPr>
        <w:numPr>
          <w:ilvl w:val="0"/>
          <w:numId w:val="1005"/>
        </w:numPr>
      </w:pPr>
      <w:r>
        <w:t xml:space="preserve">Deploy a Web Application Firewall (WAF) at the network edge (e.g., Cloudflare) or on the server (e.g., ModSecurity 3+ with the OWASP Core Rule Set).</w:t>
      </w:r>
    </w:p>
    <w:bookmarkEnd w:id="44"/>
    <w:bookmarkStart w:id="45" w:name="php-and-server-side-components"/>
    <w:p>
      <w:pPr>
        <w:pStyle w:val="Heading3"/>
      </w:pPr>
      <w:r>
        <w:t xml:space="preserve">6.3 PHP and Server-Side Components</w:t>
      </w:r>
    </w:p>
    <w:p>
      <w:pPr>
        <w:numPr>
          <w:ilvl w:val="0"/>
          <w:numId w:val="1006"/>
        </w:numPr>
      </w:pPr>
      <w:r>
        <w:t xml:space="preserve">Keep PHP on an actively supported version. As of 2026, PHP 8.2 is in security-only support and PHP 8.3+ is recommended for new deployments.</w:t>
      </w:r>
    </w:p>
    <w:p>
      <w:pPr>
        <w:numPr>
          <w:ilvl w:val="0"/>
          <w:numId w:val="1006"/>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6"/>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6"/>
        </w:numPr>
      </w:pPr>
      <w:r>
        <w:t xml:space="preserve">Keep all server-side components (web server, database server, operating system) on supported, actively maintained versions.</w:t>
      </w:r>
    </w:p>
    <w:p>
      <w:pPr>
        <w:numPr>
          <w:ilvl w:val="0"/>
          <w:numId w:val="1006"/>
        </w:numPr>
      </w:pPr>
      <w:r>
        <w:t xml:space="preserve">Achieve an A+ grade on TLS configuration assessments (e.g., Qualys SSL Labs) by using modern cipher suites and disabling legacy protocols.</w:t>
      </w:r>
    </w:p>
    <w:p>
      <w:pPr>
        <w:numPr>
          <w:ilvl w:val="0"/>
          <w:numId w:val="1006"/>
        </w:numPr>
      </w:pPr>
      <w:r>
        <w:t xml:space="preserve">Require SSH key-based authentication; disable password-based SSH access.</w:t>
      </w:r>
    </w:p>
    <w:p>
      <w:pPr>
        <w:numPr>
          <w:ilvl w:val="0"/>
          <w:numId w:val="1006"/>
        </w:numPr>
      </w:pPr>
      <w:r>
        <w:t xml:space="preserve">Use SFTP only; disable FTP entirely.</w:t>
      </w:r>
    </w:p>
    <w:p>
      <w:pPr>
        <w:numPr>
          <w:ilvl w:val="0"/>
          <w:numId w:val="1006"/>
        </w:numPr>
      </w:pPr>
      <w:r>
        <w:t xml:space="preserve">Enforce per-site process isolation in containerized or chroot environments.</w:t>
      </w:r>
    </w:p>
    <w:p>
      <w:pPr>
        <w:numPr>
          <w:ilvl w:val="0"/>
          <w:numId w:val="1006"/>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5"/>
    <w:bookmarkStart w:id="46"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7"/>
        </w:numPr>
      </w:pPr>
      <w:r>
        <w:t xml:space="preserve">Directories: 755 (or 750 where group permissions are not needed).</w:t>
      </w:r>
    </w:p>
    <w:p>
      <w:pPr>
        <w:numPr>
          <w:ilvl w:val="0"/>
          <w:numId w:val="1007"/>
        </w:numPr>
      </w:pPr>
      <w:r>
        <w:t xml:space="preserve">Files: 644 (or 640).</w:t>
      </w:r>
    </w:p>
    <w:p>
      <w:pPr>
        <w:numPr>
          <w:ilvl w:val="0"/>
          <w:numId w:val="1007"/>
        </w:numPr>
      </w:pPr>
      <w:r>
        <w:t xml:space="preserve">wp-config.php: 600 or 640, owned by the system user, not the web server user.</w:t>
      </w:r>
    </w:p>
    <w:p>
      <w:pPr>
        <w:numPr>
          <w:ilvl w:val="0"/>
          <w:numId w:val="1007"/>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6"/>
    <w:bookmarkEnd w:id="47"/>
    <w:bookmarkStart w:id="52" w:name="wordpress-application-hardening"/>
    <w:p>
      <w:pPr>
        <w:pStyle w:val="Heading2"/>
      </w:pPr>
      <w:r>
        <w:t xml:space="preserve">7. WordPress Application Hardening</w:t>
      </w:r>
    </w:p>
    <w:bookmarkStart w:id="48"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Prevents all file modifications including plugin/theme uploads and updates.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8"/>
    <w:bookmarkStart w:id="49" w:name="disable-unused-features"/>
    <w:p>
      <w:pPr>
        <w:pStyle w:val="Heading3"/>
      </w:pPr>
      <w:r>
        <w:t xml:space="preserve">7.2 Disable Unused Features</w:t>
      </w:r>
    </w:p>
    <w:p>
      <w:pPr>
        <w:numPr>
          <w:ilvl w:val="0"/>
          <w:numId w:val="1009"/>
        </w:numPr>
      </w:pPr>
      <w:r>
        <w:t xml:space="preserve">Disable XML-RPC if not required (common attack vector for brute-force amplification).</w:t>
      </w:r>
    </w:p>
    <w:p>
      <w:pPr>
        <w:numPr>
          <w:ilvl w:val="0"/>
          <w:numId w:val="1009"/>
        </w:numPr>
      </w:pPr>
      <w:r>
        <w:t xml:space="preserve">Disable trackbacks and pingbacks.</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9"/>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9"/>
    <w:bookmarkStart w:id="50" w:name="database-security"/>
    <w:p>
      <w:pPr>
        <w:pStyle w:val="Heading3"/>
      </w:pPr>
      <w:r>
        <w:t xml:space="preserve">7.3 Database Security</w:t>
      </w:r>
    </w:p>
    <w:p>
      <w:pPr>
        <w:numPr>
          <w:ilvl w:val="0"/>
          <w:numId w:val="1010"/>
        </w:numPr>
      </w:pPr>
      <w:r>
        <w:t xml:space="preserve">Use a unique, non-default database table prefix.</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0"/>
    <w:bookmarkStart w:id="51"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1"/>
    <w:bookmarkEnd w:id="52"/>
    <w:bookmarkStart w:id="58"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3"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3"/>
    <w:bookmarkStart w:id="54"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4"/>
    <w:bookmarkStart w:id="55"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5"/>
    <w:bookmarkStart w:id="56"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6"/>
    <w:bookmarkStart w:id="57"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7"/>
    <w:bookmarkEnd w:id="58"/>
    <w:bookmarkStart w:id="62" w:name="security-plugins-and-monitoring"/>
    <w:p>
      <w:pPr>
        <w:pStyle w:val="Heading2"/>
      </w:pPr>
      <w:r>
        <w:t xml:space="preserve">9. Security Plugins and Monitoring</w:t>
      </w:r>
    </w:p>
    <w:bookmarkStart w:id="59"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59"/>
    <w:bookmarkStart w:id="60"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0"/>
    <w:bookmarkStart w:id="61"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1"/>
    <w:bookmarkEnd w:id="62"/>
    <w:bookmarkStart w:id="63"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3"/>
    <w:bookmarkStart w:id="68"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4"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4"/>
    <w:bookmarkStart w:id="65"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5"/>
    <w:bookmarkStart w:id="66"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6"/>
    <w:bookmarkStart w:id="67"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7"/>
    <w:bookmarkEnd w:id="68"/>
    <w:bookmarkStart w:id="74"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9"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69"/>
    <w:bookmarkStart w:id="70"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0"/>
    <w:bookmarkStart w:id="71"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1"/>
    <w:bookmarkStart w:id="72"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2"/>
    <w:bookmarkStart w:id="73"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3"/>
    <w:bookmarkEnd w:id="74"/>
    <w:bookmarkStart w:id="75"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5"/>
    <w:bookmarkStart w:id="79"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6"/>
    <w:bookmarkStart w:id="7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7"/>
    <w:bookmarkStart w:id="78"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8"/>
    <w:bookmarkEnd w:id="79"/>
    <w:bookmarkStart w:id="98" w:name="additional-resources"/>
    <w:p>
      <w:pPr>
        <w:pStyle w:val="Heading2"/>
      </w:pPr>
      <w:r>
        <w:t xml:space="preserve">15. Additional Resources</w:t>
      </w:r>
    </w:p>
    <w:bookmarkStart w:id="84" w:name="wordpress-security-documentation"/>
    <w:p>
      <w:pPr>
        <w:pStyle w:val="Heading3"/>
      </w:pPr>
      <w:r>
        <w:t xml:space="preserve">15.1 WordPress Security Documentation</w:t>
      </w:r>
    </w:p>
    <w:p>
      <w:pPr>
        <w:pStyle w:val="Compact"/>
        <w:numPr>
          <w:ilvl w:val="0"/>
          <w:numId w:val="1030"/>
        </w:numPr>
      </w:pPr>
      <w:hyperlink r:id="rId80">
        <w:r>
          <w:rPr>
            <w:rStyle w:val="Hyperlink"/>
          </w:rPr>
          <w:t xml:space="preserve">Hardening WordPress — Advanced Administration Handbook</w:t>
        </w:r>
      </w:hyperlink>
    </w:p>
    <w:p>
      <w:pPr>
        <w:pStyle w:val="Compact"/>
        <w:numPr>
          <w:ilvl w:val="0"/>
          <w:numId w:val="1030"/>
        </w:numPr>
      </w:pPr>
      <w:hyperlink r:id="rId81">
        <w:r>
          <w:rPr>
            <w:rStyle w:val="Hyperlink"/>
          </w:rPr>
          <w:t xml:space="preserve">WordPress Security White Paper (developer.wordpress.org)</w:t>
        </w:r>
      </w:hyperlink>
    </w:p>
    <w:p>
      <w:pPr>
        <w:pStyle w:val="Compact"/>
        <w:numPr>
          <w:ilvl w:val="0"/>
          <w:numId w:val="1030"/>
        </w:numPr>
      </w:pPr>
      <w:hyperlink r:id="rId82">
        <w:r>
          <w:rPr>
            <w:rStyle w:val="Hyperlink"/>
          </w:rPr>
          <w:t xml:space="preserve">Brute Force Attacks (developer.wordpress.org)</w:t>
        </w:r>
      </w:hyperlink>
    </w:p>
    <w:p>
      <w:pPr>
        <w:pStyle w:val="Compact"/>
        <w:numPr>
          <w:ilvl w:val="0"/>
          <w:numId w:val="1030"/>
        </w:numPr>
      </w:pPr>
      <w:hyperlink r:id="rId83">
        <w:r>
          <w:rPr>
            <w:rStyle w:val="Hyperlink"/>
          </w:rPr>
          <w:t xml:space="preserve">WordPress VIP Security Best Practices</w:t>
        </w:r>
      </w:hyperlink>
    </w:p>
    <w:bookmarkEnd w:id="84"/>
    <w:bookmarkStart w:id="89" w:name="threat-intelligence-and-industry-reports"/>
    <w:p>
      <w:pPr>
        <w:pStyle w:val="Heading3"/>
      </w:pPr>
      <w:r>
        <w:t xml:space="preserve">15.2 Threat Intelligence and Industry Reports</w:t>
      </w:r>
    </w:p>
    <w:p>
      <w:pPr>
        <w:pStyle w:val="Compact"/>
        <w:numPr>
          <w:ilvl w:val="0"/>
          <w:numId w:val="1031"/>
        </w:numPr>
      </w:pPr>
      <w:hyperlink r:id="rId85">
        <w:r>
          <w:rPr>
            <w:rStyle w:val="Hyperlink"/>
          </w:rPr>
          <w:t xml:space="preserve">OWASP Top 10:2025 Web Application Security Risks</w:t>
        </w:r>
      </w:hyperlink>
    </w:p>
    <w:p>
      <w:pPr>
        <w:pStyle w:val="Compact"/>
        <w:numPr>
          <w:ilvl w:val="0"/>
          <w:numId w:val="1031"/>
        </w:numPr>
      </w:pPr>
      <w:hyperlink r:id="rId86">
        <w:r>
          <w:rPr>
            <w:rStyle w:val="Hyperlink"/>
          </w:rPr>
          <w:t xml:space="preserve">Verizon Data Breach Investigations Report</w:t>
        </w:r>
      </w:hyperlink>
    </w:p>
    <w:p>
      <w:pPr>
        <w:pStyle w:val="Compact"/>
        <w:numPr>
          <w:ilvl w:val="0"/>
          <w:numId w:val="1031"/>
        </w:numPr>
      </w:pPr>
      <w:hyperlink r:id="rId87">
        <w:r>
          <w:rPr>
            <w:rStyle w:val="Hyperlink"/>
          </w:rPr>
          <w:t xml:space="preserve">IBM X-Force Threat Intelligence Index</w:t>
        </w:r>
      </w:hyperlink>
    </w:p>
    <w:p>
      <w:pPr>
        <w:pStyle w:val="Compact"/>
        <w:numPr>
          <w:ilvl w:val="0"/>
          <w:numId w:val="1031"/>
        </w:numPr>
      </w:pPr>
      <w:hyperlink r:id="rId88">
        <w:r>
          <w:rPr>
            <w:rStyle w:val="Hyperlink"/>
          </w:rPr>
          <w:t xml:space="preserve">IBM Cost of a Data Breach Report</w:t>
        </w:r>
      </w:hyperlink>
    </w:p>
    <w:bookmarkEnd w:id="89"/>
    <w:bookmarkStart w:id="94" w:name="standards-and-frameworks"/>
    <w:p>
      <w:pPr>
        <w:pStyle w:val="Heading3"/>
      </w:pPr>
      <w:r>
        <w:t xml:space="preserve">15.3 Standards and Frameworks</w:t>
      </w:r>
    </w:p>
    <w:p>
      <w:pPr>
        <w:pStyle w:val="Compact"/>
        <w:numPr>
          <w:ilvl w:val="0"/>
          <w:numId w:val="1032"/>
        </w:numPr>
      </w:pPr>
      <w:hyperlink r:id="rId90">
        <w:r>
          <w:rPr>
            <w:rStyle w:val="Hyperlink"/>
          </w:rPr>
          <w:t xml:space="preserve">NIST SP 800-63B: Digital Identity Guidelines — Authentication</w:t>
        </w:r>
      </w:hyperlink>
    </w:p>
    <w:p>
      <w:pPr>
        <w:pStyle w:val="Compact"/>
        <w:numPr>
          <w:ilvl w:val="0"/>
          <w:numId w:val="1032"/>
        </w:numPr>
      </w:pPr>
      <w:hyperlink r:id="rId91">
        <w:r>
          <w:rPr>
            <w:rStyle w:val="Hyperlink"/>
          </w:rPr>
          <w:t xml:space="preserve">NIST SP 800-61: Computer Security Incident Handling Guide</w:t>
        </w:r>
      </w:hyperlink>
    </w:p>
    <w:p>
      <w:pPr>
        <w:pStyle w:val="Compact"/>
        <w:numPr>
          <w:ilvl w:val="0"/>
          <w:numId w:val="1032"/>
        </w:numPr>
      </w:pPr>
      <w:hyperlink r:id="rId92">
        <w:r>
          <w:rPr>
            <w:rStyle w:val="Hyperlink"/>
          </w:rPr>
          <w:t xml:space="preserve">CIS Benchmarks</w:t>
        </w:r>
      </w:hyperlink>
    </w:p>
    <w:p>
      <w:pPr>
        <w:pStyle w:val="Compact"/>
        <w:numPr>
          <w:ilvl w:val="0"/>
          <w:numId w:val="1032"/>
        </w:numPr>
      </w:pPr>
      <w:hyperlink r:id="rId93">
        <w:r>
          <w:rPr>
            <w:rStyle w:val="Hyperlink"/>
          </w:rPr>
          <w:t xml:space="preserve">ISO/IEC 27000: Information Security Management</w:t>
        </w:r>
      </w:hyperlink>
    </w:p>
    <w:bookmarkEnd w:id="94"/>
    <w:bookmarkStart w:id="97" w:name="X00fc8c82620e041623f6fee31e62d29d538d53d"/>
    <w:p>
      <w:pPr>
        <w:pStyle w:val="Heading3"/>
      </w:pPr>
      <w:r>
        <w:t xml:space="preserve">15.4 Security Culture and Organizational Practices</w:t>
      </w:r>
    </w:p>
    <w:p>
      <w:pPr>
        <w:pStyle w:val="Compact"/>
        <w:numPr>
          <w:ilvl w:val="0"/>
          <w:numId w:val="1033"/>
        </w:numPr>
      </w:pPr>
      <w:hyperlink r:id="rId95">
        <w:r>
          <w:rPr>
            <w:rStyle w:val="Hyperlink"/>
          </w:rPr>
          <w:t xml:space="preserve">KnowBe4: Security Culture</w:t>
        </w:r>
      </w:hyperlink>
    </w:p>
    <w:p>
      <w:pPr>
        <w:pStyle w:val="Compact"/>
        <w:numPr>
          <w:ilvl w:val="0"/>
          <w:numId w:val="1033"/>
        </w:numPr>
      </w:pPr>
      <w:hyperlink r:id="rId96">
        <w:r>
          <w:rPr>
            <w:rStyle w:val="Hyperlink"/>
          </w:rPr>
          <w:t xml:space="preserve">NIST: Users Are Not Stupid — Six Cyber Security Pitfalls Overturned</w:t>
        </w:r>
      </w:hyperlink>
    </w:p>
    <w:bookmarkEnd w:id="97"/>
    <w:bookmarkEnd w:id="98"/>
    <w:bookmarkStart w:id="101" w:name="related-documents"/>
    <w:p>
      <w:pPr>
        <w:pStyle w:val="Heading2"/>
      </w:pPr>
      <w:r>
        <w:t xml:space="preserve">Related Documents</w:t>
      </w:r>
    </w:p>
    <w:p>
      <w:pPr>
        <w:pStyle w:val="Compact"/>
        <w:numPr>
          <w:ilvl w:val="0"/>
          <w:numId w:val="1034"/>
        </w:numPr>
      </w:pPr>
      <w:hyperlink r:id="rId99">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1">
        <w:r>
          <w:rPr>
            <w:rStyle w:val="Hyperlink"/>
          </w:rPr>
          <w:t xml:space="preserve">developer.wordpress.org</w:t>
        </w:r>
      </w:hyperlink>
      <w:r>
        <w:t xml:space="preserve">.</w:t>
      </w:r>
    </w:p>
    <w:bookmarkEnd w:id="101"/>
    <w:bookmarkStart w:id="103" w:name="license-and-attribution"/>
    <w:p>
      <w:pPr>
        <w:pStyle w:val="Heading2"/>
      </w:pPr>
      <w:r>
        <w:t xml:space="preserve">License and Attribution</w:t>
      </w:r>
    </w:p>
    <w:p>
      <w:pPr>
        <w:pStyle w:val="FirstParagraph"/>
      </w:pPr>
      <w:r>
        <w:t xml:space="preserve">This document is licensed under the</w:t>
      </w:r>
      <w:r>
        <w:t xml:space="preserve"> </w:t>
      </w:r>
      <w:hyperlink r:id="rId10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 — DRAFT</dc:title>
  <dc:creator/>
  <cp:keywords/>
  <dcterms:created xsi:type="dcterms:W3CDTF">2026-03-01T18:56:01Z</dcterms:created>
  <dcterms:modified xsi:type="dcterms:W3CDTF">2026-03-01T18:56:01Z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