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 This document provides enterprise hardening guidance for the full WordPress stack — core software, plugin and theme ecosystem, server environment, and organizational security practices.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6"/>
    <w:bookmarkStart w:id="47"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8"/>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8"/>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50"/>
    <w:bookmarkStart w:id="51"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1"/>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1"/>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1"/>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1"/>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1"/>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1"/>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3"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0"/>
        </w:numPr>
      </w:pPr>
      <w:hyperlink r:id="rId82">
        <w:r>
          <w:rPr>
            <w:rStyle w:val="Hyperlink"/>
          </w:rPr>
          <w:t xml:space="preserve">Hardening WordPress — Advanced Administration Handbook</w:t>
        </w:r>
      </w:hyperlink>
    </w:p>
    <w:p>
      <w:pPr>
        <w:pStyle w:val="Compact"/>
        <w:numPr>
          <w:ilvl w:val="0"/>
          <w:numId w:val="1030"/>
        </w:numPr>
      </w:pPr>
      <w:hyperlink r:id="rId24">
        <w:r>
          <w:rPr>
            <w:rStyle w:val="Hyperlink"/>
          </w:rPr>
          <w:t xml:space="preserve">WordPress Security White Paper (developer.wordpress.org)</w:t>
        </w:r>
      </w:hyperlink>
    </w:p>
    <w:p>
      <w:pPr>
        <w:pStyle w:val="Compact"/>
        <w:numPr>
          <w:ilvl w:val="0"/>
          <w:numId w:val="1030"/>
        </w:numPr>
      </w:pPr>
      <w:hyperlink r:id="rId83">
        <w:r>
          <w:rPr>
            <w:rStyle w:val="Hyperlink"/>
          </w:rPr>
          <w:t xml:space="preserve">Brute Force Attacks (developer.wordpress.org)</w:t>
        </w:r>
      </w:hyperlink>
    </w:p>
    <w:p>
      <w:pPr>
        <w:pStyle w:val="Compact"/>
        <w:numPr>
          <w:ilvl w:val="0"/>
          <w:numId w:val="1030"/>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1"/>
        </w:numPr>
      </w:pPr>
      <w:hyperlink r:id="rId86">
        <w:r>
          <w:rPr>
            <w:rStyle w:val="Hyperlink"/>
          </w:rPr>
          <w:t xml:space="preserve">OWASP Top 10:2025 Web Application Security Risks</w:t>
        </w:r>
      </w:hyperlink>
    </w:p>
    <w:p>
      <w:pPr>
        <w:pStyle w:val="Compact"/>
        <w:numPr>
          <w:ilvl w:val="0"/>
          <w:numId w:val="1031"/>
        </w:numPr>
      </w:pPr>
      <w:hyperlink r:id="rId87">
        <w:r>
          <w:rPr>
            <w:rStyle w:val="Hyperlink"/>
          </w:rPr>
          <w:t xml:space="preserve">Patchstack State of WordPress Security (annual whitepaper)</w:t>
        </w:r>
      </w:hyperlink>
    </w:p>
    <w:p>
      <w:pPr>
        <w:pStyle w:val="Compact"/>
        <w:numPr>
          <w:ilvl w:val="0"/>
          <w:numId w:val="1031"/>
        </w:numPr>
      </w:pPr>
      <w:hyperlink r:id="rId88">
        <w:r>
          <w:rPr>
            <w:rStyle w:val="Hyperlink"/>
          </w:rPr>
          <w:t xml:space="preserve">Wordfence Annual WordPress Security Report</w:t>
        </w:r>
      </w:hyperlink>
    </w:p>
    <w:p>
      <w:pPr>
        <w:pStyle w:val="Compact"/>
        <w:numPr>
          <w:ilvl w:val="0"/>
          <w:numId w:val="1031"/>
        </w:numPr>
      </w:pPr>
      <w:hyperlink r:id="rId89">
        <w:r>
          <w:rPr>
            <w:rStyle w:val="Hyperlink"/>
          </w:rPr>
          <w:t xml:space="preserve">Sucuri Website Threat Research Report</w:t>
        </w:r>
      </w:hyperlink>
    </w:p>
    <w:p>
      <w:pPr>
        <w:pStyle w:val="Compact"/>
        <w:numPr>
          <w:ilvl w:val="0"/>
          <w:numId w:val="1031"/>
        </w:numPr>
      </w:pPr>
      <w:hyperlink r:id="rId90">
        <w:r>
          <w:rPr>
            <w:rStyle w:val="Hyperlink"/>
          </w:rPr>
          <w:t xml:space="preserve">Verizon Data Breach Investigations Report</w:t>
        </w:r>
      </w:hyperlink>
    </w:p>
    <w:p>
      <w:pPr>
        <w:pStyle w:val="Compact"/>
        <w:numPr>
          <w:ilvl w:val="0"/>
          <w:numId w:val="1031"/>
        </w:numPr>
      </w:pPr>
      <w:hyperlink r:id="rId91">
        <w:r>
          <w:rPr>
            <w:rStyle w:val="Hyperlink"/>
          </w:rPr>
          <w:t xml:space="preserve">IBM X-Force Threat Intelligence Index</w:t>
        </w:r>
      </w:hyperlink>
    </w:p>
    <w:p>
      <w:pPr>
        <w:pStyle w:val="Compact"/>
        <w:numPr>
          <w:ilvl w:val="0"/>
          <w:numId w:val="1031"/>
        </w:numPr>
      </w:pPr>
      <w:hyperlink r:id="rId92">
        <w:r>
          <w:rPr>
            <w:rStyle w:val="Hyperlink"/>
          </w:rPr>
          <w:t xml:space="preserve">IBM Cost of a Data Breach Report</w:t>
        </w:r>
      </w:hyperlink>
    </w:p>
    <w:p>
      <w:pPr>
        <w:pStyle w:val="Compact"/>
        <w:numPr>
          <w:ilvl w:val="0"/>
          <w:numId w:val="1031"/>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2"/>
        </w:numPr>
      </w:pPr>
      <w:hyperlink r:id="rId95">
        <w:r>
          <w:rPr>
            <w:rStyle w:val="Hyperlink"/>
          </w:rPr>
          <w:t xml:space="preserve">NIST SP 800-63B: Digital Identity Guidelines — Authentication</w:t>
        </w:r>
      </w:hyperlink>
    </w:p>
    <w:p>
      <w:pPr>
        <w:pStyle w:val="Compact"/>
        <w:numPr>
          <w:ilvl w:val="0"/>
          <w:numId w:val="1032"/>
        </w:numPr>
      </w:pPr>
      <w:hyperlink r:id="rId96">
        <w:r>
          <w:rPr>
            <w:rStyle w:val="Hyperlink"/>
          </w:rPr>
          <w:t xml:space="preserve">NIST SP 800-61: Computer Security Incident Handling Guide</w:t>
        </w:r>
      </w:hyperlink>
    </w:p>
    <w:p>
      <w:pPr>
        <w:pStyle w:val="Compact"/>
        <w:numPr>
          <w:ilvl w:val="0"/>
          <w:numId w:val="1032"/>
        </w:numPr>
      </w:pPr>
      <w:hyperlink r:id="rId97">
        <w:r>
          <w:rPr>
            <w:rStyle w:val="Hyperlink"/>
          </w:rPr>
          <w:t xml:space="preserve">CIS Benchmarks</w:t>
        </w:r>
      </w:hyperlink>
    </w:p>
    <w:p>
      <w:pPr>
        <w:pStyle w:val="Compact"/>
        <w:numPr>
          <w:ilvl w:val="0"/>
          <w:numId w:val="1032"/>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3"/>
        </w:numPr>
      </w:pPr>
      <w:hyperlink r:id="rId100">
        <w:r>
          <w:rPr>
            <w:rStyle w:val="Hyperlink"/>
          </w:rPr>
          <w:t xml:space="preserve">KnowBe4: Security Culture</w:t>
        </w:r>
      </w:hyperlink>
    </w:p>
    <w:p>
      <w:pPr>
        <w:pStyle w:val="Compact"/>
        <w:numPr>
          <w:ilvl w:val="0"/>
          <w:numId w:val="1033"/>
        </w:numPr>
      </w:pPr>
      <w:hyperlink r:id="rId101">
        <w:r>
          <w:rPr>
            <w:rStyle w:val="Hyperlink"/>
          </w:rPr>
          <w:t xml:space="preserve">NIST: Users Are Not Stupid — Six Cyber Security Pitfalls Overturned</w:t>
        </w:r>
      </w:hyperlink>
    </w:p>
    <w:bookmarkEnd w:id="102"/>
    <w:bookmarkEnd w:id="103"/>
    <w:bookmarkStart w:id="106" w:name="related-documents"/>
    <w:p>
      <w:pPr>
        <w:pStyle w:val="Heading2"/>
      </w:pPr>
      <w:r>
        <w:t xml:space="preserve">Related Documents</w:t>
      </w:r>
    </w:p>
    <w:p>
      <w:pPr>
        <w:pStyle w:val="Compact"/>
        <w:numPr>
          <w:ilvl w:val="0"/>
          <w:numId w:val="1034"/>
        </w:numPr>
      </w:pPr>
      <w:hyperlink r:id="rId104">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5">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6"/>
    <w:bookmarkStart w:id="108" w:name="license-and-attribution"/>
    <w:p>
      <w:pPr>
        <w:pStyle w:val="Heading2"/>
      </w:pPr>
      <w:r>
        <w:t xml:space="preserve">License and Attribution</w:t>
      </w:r>
    </w:p>
    <w:p>
      <w:pPr>
        <w:pStyle w:val="FirstParagraph"/>
      </w:pPr>
      <w:r>
        <w:t xml:space="preserve">This document is licensed under the</w:t>
      </w:r>
      <w:r>
        <w:t xml:space="preserve"> </w:t>
      </w:r>
      <w:hyperlink r:id="rId107">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4" Target="https://github.com/dknauss/wp-security-benchmark" TargetMode="External" /><Relationship Type="http://schemas.openxmlformats.org/officeDocument/2006/relationships/hyperlink" Id="rId105"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7"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4" Target="https://github.com/dknauss/wp-security-benchmark" TargetMode="External" /><Relationship Type="http://schemas.openxmlformats.org/officeDocument/2006/relationships/hyperlink" Id="rId105"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2026-03-03T02:50:35Z</dcterms:created>
  <dcterms:modified xsi:type="dcterms:W3CDTF">2026-03-03T02:50:35Z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