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w:t>
      </w:r>
    </w:p>
    <w:p>
      <w:pPr>
        <w:pStyle w:val="BodyText"/>
      </w:pPr>
      <w:r>
        <w:t xml:space="preserve">This document provides enterprise hardening guidance for the full WordPress stack — core software, plugin, and theme ecosystem, server environment, and organizational security practices. It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29" w:name="wordpress-core-security-architecture"/>
    <w:p>
      <w:pPr>
        <w:pStyle w:val="Heading2"/>
      </w:pPr>
      <w:r>
        <w:t xml:space="preserve">3. WordPress Core Security Architecture</w:t>
      </w:r>
    </w:p>
    <w:bookmarkStart w:id="24"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2">
        <w:r>
          <w:rPr>
            <w:rStyle w:val="Hyperlink"/>
          </w:rPr>
          <w:t xml:space="preserve">WordPress Security White Paper</w:t>
        </w:r>
      </w:hyperlink>
      <w:r>
        <w:t xml:space="preserve">.</w:t>
      </w:r>
    </w:p>
    <w:bookmarkEnd w:id="24"/>
    <w:bookmarkStart w:id="26"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5">
        <w:r>
          <w:rPr>
            <w:rStyle w:val="Hyperlink"/>
          </w:rPr>
          <w:t xml:space="preserve">WordPress Release Cycle documentation</w:t>
        </w:r>
      </w:hyperlink>
      <w:r>
        <w:t xml:space="preserve"> </w:t>
      </w:r>
      <w:r>
        <w:t xml:space="preserve">for process details.</w:t>
      </w:r>
    </w:p>
    <w:bookmarkEnd w:id="26"/>
    <w:bookmarkStart w:id="27"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3.7.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7"/>
    <w:bookmarkStart w:id="28"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2"/>
    <w:bookmarkStart w:id="33"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7.3+ with the sodium or argon2 extension) can enable Argon2id hashing via the</w:t>
      </w:r>
      <w:r>
        <w:t xml:space="preserve"> </w:t>
      </w:r>
      <w:r>
        <w:rPr>
          <w:rStyle w:val="VerbatimChar"/>
        </w:rPr>
        <w:t xml:space="preserve">wp_hash_password_algorithm</w:t>
      </w:r>
      <w:r>
        <w:t xml:space="preserve"> </w:t>
      </w:r>
      <w:r>
        <w:t xml:space="preserve">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3.7).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1"/>
    <w:bookmarkEnd w:id="42"/>
    <w:bookmarkStart w:id="49"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pStyle w:val="BodyText"/>
      </w:pPr>
      <w:r>
        <w:t xml:space="preserve">Each recommendation in this section corresponds to an auditable control in the</w:t>
      </w:r>
      <w:r>
        <w:t xml:space="preserve"> </w:t>
      </w:r>
      <w:hyperlink r:id="rId43">
        <w:r>
          <w:rPr>
            <w:rStyle w:val="Hyperlink"/>
          </w:rPr>
          <w:t xml:space="preserve">WordPress Security Benchmark</w:t>
        </w:r>
      </w:hyperlink>
      <w:r>
        <w:t xml:space="preserve"> </w:t>
      </w:r>
      <w:r>
        <w:t xml:space="preserve">§1.1 through §1.5, which provide step-by-step audit commands, remediation snippets, and default-value documentation.</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SSH).</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 Note: WordPress core does not use PHP native sessions — these settings are defense-in-depth for plugins that call</w:t>
      </w:r>
      <w:r>
        <w:t xml:space="preserve"> </w:t>
      </w:r>
      <w:r>
        <w:rPr>
          <w:rStyle w:val="VerbatimChar"/>
        </w:rPr>
        <w:t xml:space="preserve">session_start()</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Prefer SFTP or SCP over legacy FTP. If FTPS is used for compatibility, enforce TLS and strong credentials, and plan migration to SFTP.</w:t>
      </w:r>
    </w:p>
    <w:p>
      <w:pPr>
        <w:numPr>
          <w:ilvl w:val="0"/>
          <w:numId w:val="1005"/>
        </w:numPr>
      </w:pPr>
      <w:r>
        <w:t xml:space="preserve">Enforce per-site process isolation in containerized or chroot environments.</w:t>
      </w:r>
    </w:p>
    <w:p>
      <w:pPr>
        <w:numPr>
          <w:ilvl w:val="0"/>
          <w:numId w:val="1005"/>
        </w:numPr>
      </w:pPr>
      <w:r>
        <w:t xml:space="preserve">Consider placing</w:t>
      </w:r>
      <w:r>
        <w:t xml:space="preserve"> </w:t>
      </w:r>
      <w:r>
        <w:rPr>
          <w:rStyle w:val="VerbatimChar"/>
        </w:rPr>
        <w:t xml:space="preserve">wp-config.php</w:t>
      </w:r>
      <w:r>
        <w:t xml:space="preserve"> </w:t>
      </w:r>
      <w:r>
        <w:t xml:space="preserve">above the document root where server configuration allows. This is defense-in-depth and must be validated carefully; a misconfigured web root can reduce security.</w:t>
      </w:r>
    </w:p>
    <w:bookmarkEnd w:id="46"/>
    <w:bookmarkStart w:id="48" w:name="file-permissions"/>
    <w:p>
      <w:pPr>
        <w:pStyle w:val="Heading3"/>
      </w:pPr>
      <w:r>
        <w:t xml:space="preserve">6.4 File Permissions</w:t>
      </w:r>
    </w:p>
    <w:p>
      <w:pPr>
        <w:pStyle w:val="FirstParagraph"/>
      </w:pPr>
      <w:r>
        <w:t xml:space="preserve">Restrict file permissions and ownership using a documented least-privilege model. File permissions are context-dependent; the</w:t>
      </w:r>
      <w:r>
        <w:t xml:space="preserve"> </w:t>
      </w:r>
      <w:hyperlink r:id="rId47">
        <w:r>
          <w:rPr>
            <w:rStyle w:val="Hyperlink"/>
          </w:rPr>
          <w:t xml:space="preserve">WordPress Security Style Guide</w:t>
        </w:r>
      </w:hyperlink>
      <w:r>
        <w:t xml:space="preserve"> </w:t>
      </w:r>
      <w:r>
        <w:t xml:space="preserve">§3.7 explains how to communicate environment-specific recommendations. The</w:t>
      </w:r>
      <w:r>
        <w:t xml:space="preserve"> </w:t>
      </w:r>
      <w:hyperlink r:id="rId43">
        <w:r>
          <w:rPr>
            <w:rStyle w:val="Hyperlink"/>
          </w:rPr>
          <w:t xml:space="preserve">WordPress Security Benchmark</w:t>
        </w:r>
      </w:hyperlink>
      <w:r>
        <w:t xml:space="preserve"> </w:t>
      </w:r>
      <w:r>
        <w:t xml:space="preserve">§6.1 provides the auditable control.</w:t>
      </w:r>
    </w:p>
    <w:p>
      <w:pPr>
        <w:pStyle w:val="BodyText"/>
      </w:pPr>
      <w:r>
        <w:rPr>
          <w:b/>
          <w:bCs/>
        </w:rPr>
        <w:t xml:space="preserve">Ownership model (choose and document per environment):</w:t>
      </w:r>
    </w:p>
    <w:p>
      <w:pPr>
        <w:numPr>
          <w:ilvl w:val="0"/>
          <w:numId w:val="1006"/>
        </w:numPr>
      </w:pPr>
      <w:r>
        <w:rPr>
          <w:b/>
          <w:bCs/>
        </w:rPr>
        <w:t xml:space="preserve">Model A (preferred on dedicated/self-managed hosts):</w:t>
      </w:r>
      <w:r>
        <w:t xml:space="preserve"> </w:t>
      </w:r>
      <w:r>
        <w:t xml:space="preserve">site-owned files with web-server group read access (for example,</w:t>
      </w:r>
      <w:r>
        <w:t xml:space="preserve"> </w:t>
      </w:r>
      <w:r>
        <w:rPr>
          <w:rStyle w:val="VerbatimChar"/>
        </w:rPr>
        <w:t xml:space="preserve">wp_user:www-data</w:t>
      </w:r>
      <w:r>
        <w:t xml:space="preserve">), plus controlled write access only where needed (uploads/cache).</w:t>
      </w:r>
    </w:p>
    <w:p>
      <w:pPr>
        <w:numPr>
          <w:ilvl w:val="0"/>
          <w:numId w:val="1006"/>
        </w:numPr>
      </w:pPr>
      <w:r>
        <w:rPr>
          <w:b/>
          <w:bCs/>
        </w:rPr>
        <w:t xml:space="preserve">Model B (provider-constrained shared/managed hosting):</w:t>
      </w:r>
      <w:r>
        <w:t xml:space="preserve"> </w:t>
      </w:r>
      <w:r>
        <w:t xml:space="preserve">provider-required ownership model with compensating controls (</w:t>
      </w:r>
      <w:r>
        <w:rPr>
          <w:rStyle w:val="VerbatimChar"/>
        </w:rPr>
        <w:t xml:space="preserve">DISALLOW_FILE_EDIT</w:t>
      </w:r>
      <w:r>
        <w:t xml:space="preserve">, controlled update process, and stricter monitoring).</w:t>
      </w:r>
    </w:p>
    <w:p>
      <w:pPr>
        <w:pStyle w:val="FirstParagraph"/>
      </w:pPr>
      <w:r>
        <w:rPr>
          <w:b/>
          <w:bCs/>
        </w:rPr>
        <w:t xml:space="preserve">Recommended permissions:</w:t>
      </w:r>
    </w:p>
    <w:p>
      <w:pPr>
        <w:numPr>
          <w:ilvl w:val="0"/>
          <w:numId w:val="1007"/>
        </w:numPr>
      </w:pPr>
      <w:r>
        <w:t xml:space="preserve">Directories: 755 (or 750 where group/world read is not required).</w:t>
      </w:r>
    </w:p>
    <w:p>
      <w:pPr>
        <w:numPr>
          <w:ilvl w:val="0"/>
          <w:numId w:val="1007"/>
        </w:numPr>
      </w:pPr>
      <w:r>
        <w:t xml:space="preserve">Files: 644 (or 640).</w:t>
      </w:r>
    </w:p>
    <w:p>
      <w:pPr>
        <w:numPr>
          <w:ilvl w:val="0"/>
          <w:numId w:val="1007"/>
        </w:numPr>
      </w:pPr>
      <w:r>
        <w:rPr>
          <w:rStyle w:val="VerbatimChar"/>
        </w:rPr>
        <w:t xml:space="preserve">wp-config.php</w:t>
      </w:r>
      <w:r>
        <w:t xml:space="preserve">: 400 or 440 preferred steady-state; 600/640 may be used temporarily when deployment automation must write, then revert.</w:t>
      </w:r>
    </w:p>
    <w:p>
      <w:pPr>
        <w:numPr>
          <w:ilvl w:val="0"/>
          <w:numId w:val="1007"/>
        </w:numPr>
      </w:pPr>
      <w:r>
        <w:t xml:space="preserve">Set</w:t>
      </w:r>
      <w:r>
        <w:t xml:space="preserve"> </w:t>
      </w:r>
      <w:r>
        <w:rPr>
          <w:rStyle w:val="VerbatimChar"/>
        </w:rPr>
        <w:t xml:space="preserve">DISALLOW_FILE_EDIT</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as the baseline to disable the built-in editor. Use</w:t>
      </w:r>
      <w:r>
        <w:t xml:space="preserve"> </w:t>
      </w:r>
      <w:r>
        <w:rPr>
          <w:rStyle w:val="VerbatimChar"/>
        </w:rPr>
        <w:t xml:space="preserve">DISALLOW_FILE_MODS</w:t>
      </w:r>
      <w:r>
        <w:t xml:space="preserve"> </w:t>
      </w:r>
      <w:r>
        <w:t xml:space="preserve">only in hardened profiles with a documented external update pipeline.</w:t>
      </w:r>
    </w:p>
    <w:p>
      <w:r>
        <w:pict>
          <v:rect style="width:0;height:1.5pt" o:hralign="center" o:hrstd="t" o:hr="t"/>
        </w:pict>
      </w:r>
    </w:p>
    <w:bookmarkEnd w:id="48"/>
    <w:bookmarkEnd w:id="49"/>
    <w:bookmarkStart w:id="55" w:name="wordpress-application-hardening"/>
    <w:p>
      <w:pPr>
        <w:pStyle w:val="Heading2"/>
      </w:pPr>
      <w:r>
        <w:t xml:space="preserve">7. WordPress Application Hardening</w:t>
      </w:r>
    </w:p>
    <w:bookmarkStart w:id="50"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Dashboard.</w:t>
      </w:r>
    </w:p>
    <w:p>
      <w:pPr>
        <w:numPr>
          <w:ilvl w:val="0"/>
          <w:numId w:val="1008"/>
        </w:numPr>
      </w:pPr>
      <w:r>
        <w:rPr>
          <w:rStyle w:val="VerbatimChar"/>
        </w:rPr>
        <w:t xml:space="preserve">DISALLOW_FILE_MODS</w:t>
      </w:r>
      <w:r>
        <w:t xml:space="preserve"> </w:t>
      </w:r>
      <w:r>
        <w:t xml:space="preserve">— Optional hardened profile: prevents plugin/theme uploads and updates through the Dashboard; requires an external update process.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50"/>
    <w:bookmarkStart w:id="51" w:name="disable-unused-features"/>
    <w:p>
      <w:pPr>
        <w:pStyle w:val="Heading3"/>
      </w:pPr>
      <w:r>
        <w:t xml:space="preserve">7.2 Disable Unused Features</w:t>
      </w:r>
    </w:p>
    <w:p>
      <w:pPr>
        <w:numPr>
          <w:ilvl w:val="0"/>
          <w:numId w:val="1009"/>
        </w:numPr>
      </w:pPr>
      <w:r>
        <w:rPr>
          <w:b/>
          <w:bCs/>
        </w:rPr>
        <w:t xml:space="preserve">Disable XML-RPC</w:t>
      </w:r>
      <w:r>
        <w:t xml:space="preserve"> </w:t>
      </w:r>
      <w:r>
        <w:t xml:space="preserve">if not required (common attack vector for brute-force amplification). WordPress core disables the loading of custom XML entities to prevent XML eXternal Entity (XXE) and entity expansion attacks, but disabling XML-RPC entirely removes the endpoint from the attack surface. Block</w:t>
      </w:r>
      <w:r>
        <w:t xml:space="preserve"> </w:t>
      </w:r>
      <w:r>
        <w:rPr>
          <w:rStyle w:val="VerbatimChar"/>
        </w:rPr>
        <w:t xml:space="preserve">xmlrpc.php</w:t>
      </w:r>
      <w:r>
        <w:t xml:space="preserve"> </w:t>
      </w:r>
      <w:r>
        <w:t xml:space="preserve">at the web server level (preferred) or disable it via a must-use plugin (</w:t>
      </w:r>
      <w:r>
        <w:rPr>
          <w:rStyle w:val="VerbatimChar"/>
        </w:rPr>
        <w:t xml:space="preserve">add_filter( 'xmlrpc_enabled', '__return_false' )</w:t>
      </w:r>
      <w:r>
        <w:t xml:space="preserve">). Do not rely on</w:t>
      </w:r>
      <w:r>
        <w:t xml:space="preserve"> </w:t>
      </w:r>
      <w:r>
        <w:rPr>
          <w:rStyle w:val="VerbatimChar"/>
        </w:rPr>
        <w:t xml:space="preserve">wp-config.php</w:t>
      </w:r>
      <w:r>
        <w:t xml:space="preserve"> </w:t>
      </w:r>
      <w:r>
        <w:t xml:space="preserve">constants —</w:t>
      </w:r>
      <w:r>
        <w:t xml:space="preserve"> </w:t>
      </w:r>
      <w:r>
        <w:rPr>
          <w:rStyle w:val="VerbatimChar"/>
        </w:rPr>
        <w:t xml:space="preserve">XMLRPC_REQUEST</w:t>
      </w:r>
      <w:r>
        <w:t xml:space="preserve"> </w:t>
      </w:r>
      <w:r>
        <w:t xml:space="preserve">is a read-only internal constant that WordPress sets during XML-RPC processing and cannot be used to disable the feature.</w:t>
      </w:r>
    </w:p>
    <w:p>
      <w:pPr>
        <w:numPr>
          <w:ilvl w:val="0"/>
          <w:numId w:val="1009"/>
        </w:numPr>
      </w:pPr>
      <w:r>
        <w:rPr>
          <w:b/>
          <w:bCs/>
        </w:rPr>
        <w:t xml:space="preserve">Disable trackbacks and pingbacks</w:t>
      </w:r>
      <w:r>
        <w:t xml:space="preserve"> </w:t>
      </w:r>
      <w:r>
        <w:t xml:space="preserve">in</w:t>
      </w:r>
      <w:r>
        <w:t xml:space="preserve"> </w:t>
      </w:r>
      <w:r>
        <w:rPr>
          <w:b/>
          <w:bCs/>
        </w:rPr>
        <w:t xml:space="preserve">Settings → Discussion</w:t>
      </w:r>
      <w:r>
        <w:t xml:space="preserve">. Trackbacks operate independently of</w:t>
      </w:r>
      <w:r>
        <w:t xml:space="preserve"> </w:t>
      </w:r>
      <w:r>
        <w:rPr>
          <w:rStyle w:val="VerbatimChar"/>
        </w:rPr>
        <w:t xml:space="preserve">xmlrpc.php</w:t>
      </w:r>
      <w:r>
        <w:t xml:space="preserve"> </w:t>
      </w:r>
      <w:r>
        <w:t xml:space="preserve">and must be disabled separately.</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Scope unauthenticated REST API access to only the public endpoints your site requires (e.g., posts listing for a public front-end). Avoid blanket API blocking unless architecture explicitly requires it.</w:t>
      </w:r>
    </w:p>
    <w:p>
      <w:pPr>
        <w:numPr>
          <w:ilvl w:val="0"/>
          <w:numId w:val="1009"/>
        </w:numPr>
      </w:pPr>
      <w:r>
        <w:t xml:space="preserve">For higher reliability, consider replacing built-in</w:t>
      </w:r>
      <w:r>
        <w:t xml:space="preserve"> </w:t>
      </w:r>
      <w:r>
        <w:rPr>
          <w:rStyle w:val="VerbatimChar"/>
        </w:rPr>
        <w:t xml:space="preserve">wp-cron.php</w:t>
      </w:r>
      <w:r>
        <w:t xml:space="preserve"> </w:t>
      </w:r>
      <w:r>
        <w:t xml:space="preserve">triggers with a system cron job: set</w:t>
      </w:r>
      <w:r>
        <w:t xml:space="preserve"> </w:t>
      </w:r>
      <w:r>
        <w:rPr>
          <w:rStyle w:val="VerbatimChar"/>
        </w:rPr>
        <w:t xml:space="preserve">define( 'DISABLE_WP_CRON', true );</w:t>
      </w:r>
      <w:r>
        <w:t xml:space="preserve"> </w:t>
      </w:r>
      <w:r>
        <w:t xml:space="preserve">in</w:t>
      </w:r>
      <w:r>
        <w:t xml:space="preserve"> </w:t>
      </w:r>
      <w:r>
        <w:rPr>
          <w:rStyle w:val="VerbatimChar"/>
        </w:rPr>
        <w:t xml:space="preserve">wp-config.php</w:t>
      </w:r>
      <w:r>
        <w:t xml:space="preserve"> </w:t>
      </w:r>
      <w:r>
        <w:t xml:space="preserve">and add a system cron entry (for example,</w:t>
      </w:r>
      <w:r>
        <w:t xml:space="preserve"> </w:t>
      </w:r>
      <w:r>
        <w:rPr>
          <w:rStyle w:val="VerbatimChar"/>
        </w:rPr>
        <w:t xml:space="preserve">*/5 * * * * cd /path/to/wordpress &amp;&amp; wp cron event run --due-now</w:t>
      </w:r>
      <w:r>
        <w:t xml:space="preserve">). Without the constant, the system cron runs in addition to page-load triggers rather than replacing them. Treat this primarily as an operations/reliability control, with secondary security benefits.</w:t>
      </w:r>
    </w:p>
    <w:bookmarkEnd w:id="51"/>
    <w:bookmarkStart w:id="52" w:name="database-security"/>
    <w:p>
      <w:pPr>
        <w:pStyle w:val="Heading3"/>
      </w:pPr>
      <w:r>
        <w:t xml:space="preserve">7.3 Database Security</w:t>
      </w:r>
    </w:p>
    <w:p>
      <w:pPr>
        <w:pStyle w:val="FirstParagraph"/>
      </w:pPr>
      <w:r>
        <w:t xml:space="preserve">For prescriptive audit and remediation procedures corresponding to each database recommendation below, see</w:t>
      </w:r>
      <w:r>
        <w:t xml:space="preserve"> </w:t>
      </w:r>
      <w:hyperlink r:id="rId43">
        <w:r>
          <w:rPr>
            <w:rStyle w:val="Hyperlink"/>
          </w:rPr>
          <w:t xml:space="preserve">WordPress Security Benchmark</w:t>
        </w:r>
      </w:hyperlink>
      <w:r>
        <w:t xml:space="preserve"> </w:t>
      </w:r>
      <w:r>
        <w:t xml:space="preserve">§3.1 through §3.4.</w:t>
      </w:r>
    </w:p>
    <w:p>
      <w:pPr>
        <w:numPr>
          <w:ilvl w:val="0"/>
          <w:numId w:val="1010"/>
        </w:numPr>
      </w:pPr>
      <w:r>
        <w:t xml:space="preserve">Database table prefixes are a low-value obscurity control. Use a non-default prefix only as optional defense-in-depth; prioritize patching, least privilege, and secure coding controls.</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2"/>
    <w:bookmarkStart w:id="53"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3"/>
    <w:bookmarkStart w:id="54"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2"/>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2"/>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2"/>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2"/>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2"/>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2"/>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4"/>
    <w:bookmarkEnd w:id="55"/>
    <w:bookmarkStart w:id="62"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The Verizon DBIR (2025) found that credential abuse remains the most common initial access vector (22% of breaches), and the SpyCloud Annual Identity Exposure Report (2025) confirms the scale of the underlying problem: over 750 million credentials were exposed in the past year, with infostealer malware responsible for a growing share. Session hijacking, credential stuffing, and infostealer malware represent the fastest-growing attack categories across all web platforms.</w:t>
      </w:r>
    </w:p>
    <w:bookmarkStart w:id="57" w:name="multi-factor-authentication"/>
    <w:p>
      <w:pPr>
        <w:pStyle w:val="Heading3"/>
      </w:pPr>
      <w:r>
        <w:t xml:space="preserve">8.1 Multi-Factor Authentication</w:t>
      </w:r>
    </w:p>
    <w:p>
      <w:pPr>
        <w:numPr>
          <w:ilvl w:val="0"/>
          <w:numId w:val="1013"/>
        </w:numPr>
      </w:pPr>
      <w:r>
        <w:t xml:space="preserve">Require multi-factor authentication (MFA) or two-factor authentication (2FA) for all administrator and editor accounts.</w:t>
      </w:r>
    </w:p>
    <w:p>
      <w:pPr>
        <w:numPr>
          <w:ilvl w:val="0"/>
          <w:numId w:val="1013"/>
        </w:numPr>
      </w:pPr>
      <w:r>
        <w:t xml:space="preserve">Standardize on</w:t>
      </w:r>
      <w:r>
        <w:t xml:space="preserve"> </w:t>
      </w:r>
      <w:r>
        <w:rPr>
          <w:rStyle w:val="VerbatimChar"/>
        </w:rPr>
        <w:t xml:space="preserve">two-factor</w:t>
      </w:r>
      <w:r>
        <w:t xml:space="preserve"> </w:t>
      </w:r>
      <w:r>
        <w:t xml:space="preserve">for operational consistency across environments, unless an approved equivalent is required by platform constraints.</w:t>
      </w:r>
    </w:p>
    <w:p>
      <w:pPr>
        <w:numPr>
          <w:ilvl w:val="0"/>
          <w:numId w:val="1013"/>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3"/>
        </w:numPr>
      </w:pPr>
      <w:r>
        <w:t xml:space="preserve">Do not use SMS-based 2FA, as it is vulnerable to SIM-swapping attacks.</w:t>
      </w:r>
    </w:p>
    <w:p>
      <w:pPr>
        <w:numPr>
          <w:ilvl w:val="0"/>
          <w:numId w:val="1013"/>
        </w:numPr>
      </w:pPr>
      <w:r>
        <w:t xml:space="preserve">Ensure 2FA secrets are encrypted at rest in the database.</w:t>
      </w:r>
    </w:p>
    <w:p>
      <w:pPr>
        <w:numPr>
          <w:ilvl w:val="0"/>
          <w:numId w:val="1013"/>
        </w:numPr>
      </w:pPr>
      <w:r>
        <w:t xml:space="preserve">Encourage all users, including contributors and subscribers, to enable 2FA.</w:t>
      </w:r>
    </w:p>
    <w:p>
      <w:pPr>
        <w:pStyle w:val="BlockText"/>
      </w:pPr>
      <w:r>
        <w:t xml:space="preserve">For the operational procedure to install, configure, verify, and provide emergency recovery for the</w:t>
      </w:r>
      <w:r>
        <w:t xml:space="preserve"> </w:t>
      </w:r>
      <w:r>
        <w:rPr>
          <w:rStyle w:val="VerbatimChar"/>
        </w:rPr>
        <w:t xml:space="preserve">two-factor</w:t>
      </w:r>
      <w:r>
        <w:t xml:space="preserve"> </w:t>
      </w:r>
      <w:r>
        <w:t xml:space="preserve">plugin via WP-CLI, see</w:t>
      </w:r>
      <w:r>
        <w:t xml:space="preserve"> </w:t>
      </w:r>
      <w:hyperlink r:id="rId56">
        <w:r>
          <w:rPr>
            <w:rStyle w:val="Hyperlink"/>
          </w:rPr>
          <w:t xml:space="preserve">WordPress Operations Runbook</w:t>
        </w:r>
      </w:hyperlink>
      <w:r>
        <w:t xml:space="preserve"> </w:t>
      </w:r>
      <w:r>
        <w:t xml:space="preserve">§5.5.</w:t>
      </w:r>
    </w:p>
    <w:bookmarkEnd w:id="57"/>
    <w:bookmarkStart w:id="58" w:name="privileged-action-gating"/>
    <w:p>
      <w:pPr>
        <w:pStyle w:val="Heading3"/>
      </w:pPr>
      <w:r>
        <w:t xml:space="preserve">8.2 Privileged Action Gating</w:t>
      </w:r>
    </w:p>
    <w:p>
      <w:pPr>
        <w:pStyle w:val="FirstParagraph"/>
      </w:pPr>
      <w:r>
        <w:t xml:space="preserve">Enterprise environments should implement action-gated reauthentication for high-risk operations. (Also known as</w:t>
      </w:r>
      <w:r>
        <w:t xml:space="preserve"> </w:t>
      </w:r>
      <w:r>
        <w:t xml:space="preserve">“sudo mode.”</w:t>
      </w:r>
      <w:r>
        <w:t xml:space="preserve"> </w:t>
      </w:r>
      <w:r>
        <w:t xml:space="preserve">See the</w:t>
      </w:r>
      <w:r>
        <w:t xml:space="preserve"> </w:t>
      </w:r>
      <w:hyperlink r:id="rId47">
        <w:r>
          <w:rPr>
            <w:rStyle w:val="Hyperlink"/>
          </w:rPr>
          <w:t xml:space="preserve">WordPress Security Style Guide</w:t>
        </w:r>
      </w:hyperlink>
      <w:r>
        <w:t xml:space="preserve"> </w:t>
      </w:r>
      <w:r>
        <w:t xml:space="preserve">Glossary for the formal definition and usage guidance.)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8"/>
    <w:bookmarkStart w:id="59" w:name="password-policy"/>
    <w:p>
      <w:pPr>
        <w:pStyle w:val="Heading3"/>
      </w:pPr>
      <w:r>
        <w:t xml:space="preserve">8.3 Password Policy</w:t>
      </w:r>
    </w:p>
    <w:p>
      <w:pPr>
        <w:pStyle w:val="Compact"/>
        <w:numPr>
          <w:ilvl w:val="0"/>
          <w:numId w:val="1014"/>
        </w:numPr>
      </w:pPr>
      <w:r>
        <w:t xml:space="preserve">Enforce strong passwords of at least 12 characters, following NIST SP 800-63B guidelines.</w:t>
      </w:r>
    </w:p>
    <w:p>
      <w:pPr>
        <w:pStyle w:val="Compact"/>
        <w:numPr>
          <w:ilvl w:val="0"/>
          <w:numId w:val="1014"/>
        </w:numPr>
      </w:pPr>
      <w:r>
        <w:t xml:space="preserve">Block passwords found in known breach databases (e.g., Have I Been Pwned).</w:t>
      </w:r>
    </w:p>
    <w:p>
      <w:pPr>
        <w:pStyle w:val="Compact"/>
        <w:numPr>
          <w:ilvl w:val="0"/>
          <w:numId w:val="1014"/>
        </w:numPr>
      </w:pPr>
      <w:r>
        <w:t xml:space="preserve">Do not enforce arbitrary complexity rules (e.g., requiring special characters) that encourage predictable patterns; enforce length and entropy instead.</w:t>
      </w:r>
    </w:p>
    <w:p>
      <w:pPr>
        <w:pStyle w:val="Compact"/>
        <w:numPr>
          <w:ilvl w:val="0"/>
          <w:numId w:val="1014"/>
        </w:numPr>
      </w:pPr>
      <w:r>
        <w:t xml:space="preserve">On servers with the necessary PHP extensions, consider enabling Argon2id password hashing via the</w:t>
      </w:r>
      <w:r>
        <w:t xml:space="preserve"> </w:t>
      </w:r>
      <w:r>
        <w:rPr>
          <w:rStyle w:val="VerbatimChar"/>
        </w:rPr>
        <w:t xml:space="preserve">wp_hash_password_algorithm</w:t>
      </w:r>
      <w:r>
        <w:t xml:space="preserve"> </w:t>
      </w:r>
      <w:r>
        <w:t xml:space="preserve">filter for stronger resistance to GPU-accelerated brute-force attacks.</w:t>
      </w:r>
    </w:p>
    <w:bookmarkEnd w:id="59"/>
    <w:bookmarkStart w:id="60" w:name="session-management"/>
    <w:p>
      <w:pPr>
        <w:pStyle w:val="Heading3"/>
      </w:pPr>
      <w:r>
        <w:t xml:space="preserve">8.4 Session Management</w:t>
      </w:r>
    </w:p>
    <w:p>
      <w:pPr>
        <w:pStyle w:val="Compact"/>
        <w:numPr>
          <w:ilvl w:val="0"/>
          <w:numId w:val="1015"/>
        </w:numPr>
      </w:pPr>
      <w:r>
        <w:t xml:space="preserve">Enforce short maximum session lifetimes (8–24 hours for privileged users).</w:t>
      </w:r>
    </w:p>
    <w:p>
      <w:pPr>
        <w:pStyle w:val="Compact"/>
        <w:numPr>
          <w:ilvl w:val="0"/>
          <w:numId w:val="1015"/>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5"/>
        </w:numPr>
      </w:pPr>
      <w:r>
        <w:t xml:space="preserve">Automatically terminate idle sessions after a defined inactivity period.</w:t>
      </w:r>
    </w:p>
    <w:p>
      <w:pPr>
        <w:pStyle w:val="Compact"/>
        <w:numPr>
          <w:ilvl w:val="0"/>
          <w:numId w:val="1015"/>
        </w:numPr>
      </w:pPr>
      <w:r>
        <w:t xml:space="preserve">Terminate all active sessions daily at scheduled times, or on role/permission changes.</w:t>
      </w:r>
    </w:p>
    <w:bookmarkEnd w:id="60"/>
    <w:bookmarkStart w:id="61"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6"/>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6"/>
        </w:numPr>
      </w:pPr>
      <w:r>
        <w:t xml:space="preserve">Create custom roles with only the capabilities each user group requires.</w:t>
      </w:r>
    </w:p>
    <w:p>
      <w:pPr>
        <w:pStyle w:val="Compact"/>
        <w:numPr>
          <w:ilvl w:val="0"/>
          <w:numId w:val="1016"/>
        </w:numPr>
      </w:pPr>
      <w:r>
        <w:t xml:space="preserve">Define user roles and capabilities in a must-use plugin rather than the database, making them resistant to SQLi attacks and privilege escalation. (The WordPress roles API is not available during</w:t>
      </w:r>
      <w:r>
        <w:t xml:space="preserve"> </w:t>
      </w:r>
      <w:r>
        <w:rPr>
          <w:rStyle w:val="VerbatimChar"/>
        </w:rPr>
        <w:t xml:space="preserve">wp-config.php</w:t>
      </w:r>
      <w:r>
        <w:t xml:space="preserve"> </w:t>
      </w:r>
      <w:r>
        <w:t xml:space="preserve">loading — roles must be registered on the</w:t>
      </w:r>
      <w:r>
        <w:t xml:space="preserve"> </w:t>
      </w:r>
      <w:r>
        <w:rPr>
          <w:rStyle w:val="VerbatimChar"/>
        </w:rPr>
        <w:t xml:space="preserve">init</w:t>
      </w:r>
      <w:r>
        <w:t xml:space="preserve"> </w:t>
      </w:r>
      <w:r>
        <w:t xml:space="preserve">hook or later.)</w:t>
      </w:r>
    </w:p>
    <w:p>
      <w:pPr>
        <w:pStyle w:val="Compact"/>
        <w:numPr>
          <w:ilvl w:val="0"/>
          <w:numId w:val="1016"/>
        </w:numPr>
      </w:pPr>
      <w:r>
        <w:t xml:space="preserve">Restrict administrator capabilities such as file upload, plugin/theme installation, and code editing by default.</w:t>
      </w:r>
    </w:p>
    <w:p>
      <w:pPr>
        <w:pStyle w:val="Compact"/>
        <w:numPr>
          <w:ilvl w:val="0"/>
          <w:numId w:val="1016"/>
        </w:numPr>
      </w:pPr>
      <w:r>
        <w:t xml:space="preserve">Implement IP or device-based allowlists for privileged accounts where feasible.</w:t>
      </w:r>
    </w:p>
    <w:p>
      <w:pPr>
        <w:pStyle w:val="Compact"/>
        <w:numPr>
          <w:ilvl w:val="0"/>
          <w:numId w:val="1016"/>
        </w:numPr>
      </w:pPr>
      <w:r>
        <w:t xml:space="preserve">Adopt trusted device verification for accounts with elevated privileges.</w:t>
      </w:r>
    </w:p>
    <w:p>
      <w:pPr>
        <w:pStyle w:val="Compact"/>
        <w:numPr>
          <w:ilvl w:val="0"/>
          <w:numId w:val="1016"/>
        </w:numPr>
      </w:pPr>
      <w:r>
        <w:t xml:space="preserve">Immediately revoke access for departed employees and terminated third-party contractors.</w:t>
      </w:r>
    </w:p>
    <w:bookmarkEnd w:id="61"/>
    <w:bookmarkEnd w:id="62"/>
    <w:bookmarkStart w:id="66" w:name="security-plugins-and-monitoring"/>
    <w:p>
      <w:pPr>
        <w:pStyle w:val="Heading2"/>
      </w:pPr>
      <w:r>
        <w:t xml:space="preserve">9. Security Plugins and Monitoring</w:t>
      </w:r>
    </w:p>
    <w:bookmarkStart w:id="63" w:name="web-application-firewall"/>
    <w:p>
      <w:pPr>
        <w:pStyle w:val="Heading3"/>
      </w:pPr>
      <w:r>
        <w:t xml:space="preserve">9.1 Web Application Firewall</w:t>
      </w:r>
    </w:p>
    <w:p>
      <w:pPr>
        <w:pStyle w:val="FirstParagraph"/>
      </w:pPr>
      <w:r>
        <w:t xml:space="preserve">Deploy a WordPress-aware WAF that provides:</w:t>
      </w:r>
    </w:p>
    <w:p>
      <w:pPr>
        <w:numPr>
          <w:ilvl w:val="0"/>
          <w:numId w:val="1017"/>
        </w:numPr>
      </w:pPr>
      <w:r>
        <w:t xml:space="preserve">Real-time threat intelligence feeds and virtual patching.</w:t>
      </w:r>
    </w:p>
    <w:p>
      <w:pPr>
        <w:numPr>
          <w:ilvl w:val="0"/>
          <w:numId w:val="1017"/>
        </w:numPr>
      </w:pPr>
      <w:r>
        <w:t xml:space="preserve">Protection against common attack patterns (SQLi, XSS, CSRF, file inclusion).</w:t>
      </w:r>
    </w:p>
    <w:p>
      <w:pPr>
        <w:numPr>
          <w:ilvl w:val="0"/>
          <w:numId w:val="1017"/>
        </w:numPr>
      </w:pPr>
      <w:r>
        <w:t xml:space="preserve">Brute-force protection with intelligent rate limiting.</w:t>
      </w:r>
    </w:p>
    <w:p>
      <w:pPr>
        <w:numPr>
          <w:ilvl w:val="0"/>
          <w:numId w:val="1017"/>
        </w:numPr>
      </w:pPr>
      <w:r>
        <w:t xml:space="preserve">Bot detection and management.</w:t>
      </w:r>
    </w:p>
    <w:p>
      <w:pPr>
        <w:pStyle w:val="FirstParagraph"/>
      </w:pPr>
      <w:r>
        <w:t xml:space="preserve">Options include Patchstack, Wordfence, Sucuri, and Cloudflare (at the network edge).</w:t>
      </w:r>
    </w:p>
    <w:bookmarkEnd w:id="63"/>
    <w:bookmarkStart w:id="64" w:name="audit-logging"/>
    <w:p>
      <w:pPr>
        <w:pStyle w:val="Heading3"/>
      </w:pPr>
      <w:r>
        <w:t xml:space="preserve">9.2 Audit Logging</w:t>
      </w:r>
    </w:p>
    <w:p>
      <w:pPr>
        <w:numPr>
          <w:ilvl w:val="0"/>
          <w:numId w:val="1018"/>
        </w:numPr>
      </w:pPr>
      <w:r>
        <w:t xml:space="preserve">Install a comprehensive audit logging plugin (e.g., WP Activity Log) that records all user activity, including logins, content changes, plugin/theme modifications, and settings changes.</w:t>
      </w:r>
    </w:p>
    <w:p>
      <w:pPr>
        <w:numPr>
          <w:ilvl w:val="0"/>
          <w:numId w:val="1018"/>
        </w:numPr>
      </w:pPr>
      <w:r>
        <w:t xml:space="preserve">Retain logs for a period consistent with your organization’s compliance requirements.</w:t>
      </w:r>
    </w:p>
    <w:p>
      <w:pPr>
        <w:numPr>
          <w:ilvl w:val="0"/>
          <w:numId w:val="1018"/>
        </w:numPr>
      </w:pPr>
      <w:r>
        <w:t xml:space="preserve">Configure log alerts for suspicious activity: failed logins, privilege escalation, file modifications, and new user account creation.</w:t>
      </w:r>
    </w:p>
    <w:p>
      <w:pPr>
        <w:numPr>
          <w:ilvl w:val="0"/>
          <w:numId w:val="1018"/>
        </w:numPr>
      </w:pPr>
      <w:r>
        <w:t xml:space="preserve">Export logs to a centralized SIEM system for correlation with other security events.</w:t>
      </w:r>
    </w:p>
    <w:bookmarkEnd w:id="64"/>
    <w:bookmarkStart w:id="65" w:name="malware-detection"/>
    <w:p>
      <w:pPr>
        <w:pStyle w:val="Heading3"/>
      </w:pPr>
      <w:r>
        <w:t xml:space="preserve">9.3 Malware Detection</w:t>
      </w:r>
    </w:p>
    <w:p>
      <w:pPr>
        <w:numPr>
          <w:ilvl w:val="0"/>
          <w:numId w:val="1019"/>
        </w:numPr>
      </w:pPr>
      <w:r>
        <w:t xml:space="preserve">Deploy server-level malware detection (e.g., Imunify360, Linux Malware Detect, ClamAV).</w:t>
      </w:r>
    </w:p>
    <w:p>
      <w:pPr>
        <w:numPr>
          <w:ilvl w:val="0"/>
          <w:numId w:val="1019"/>
        </w:numPr>
      </w:pPr>
      <w:r>
        <w:t xml:space="preserve">Schedule regular integrity checks comparing core files against known-good checksums.</w:t>
      </w:r>
    </w:p>
    <w:p>
      <w:pPr>
        <w:numPr>
          <w:ilvl w:val="0"/>
          <w:numId w:val="1019"/>
        </w:numPr>
      </w:pPr>
      <w:r>
        <w:t xml:space="preserve">Monitor for unauthorized file changes, especially in plugin and theme directories.</w:t>
      </w:r>
    </w:p>
    <w:bookmarkEnd w:id="65"/>
    <w:bookmarkEnd w:id="66"/>
    <w:bookmarkStart w:id="67"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20"/>
        </w:numPr>
      </w:pPr>
      <w:r>
        <w:t xml:space="preserve">Perform backups at the server level (not relying solely on WordPress plugins).</w:t>
      </w:r>
    </w:p>
    <w:p>
      <w:pPr>
        <w:numPr>
          <w:ilvl w:val="0"/>
          <w:numId w:val="1020"/>
        </w:numPr>
      </w:pPr>
      <w:r>
        <w:t xml:space="preserve">Store backups offsite, in a location inaccessible from the production environment.</w:t>
      </w:r>
    </w:p>
    <w:p>
      <w:pPr>
        <w:numPr>
          <w:ilvl w:val="0"/>
          <w:numId w:val="1020"/>
        </w:numPr>
      </w:pPr>
      <w:r>
        <w:t xml:space="preserve">Encrypt backup data both in transit and at rest.</w:t>
      </w:r>
    </w:p>
    <w:p>
      <w:pPr>
        <w:numPr>
          <w:ilvl w:val="0"/>
          <w:numId w:val="1020"/>
        </w:numPr>
      </w:pPr>
      <w:r>
        <w:t xml:space="preserve">Test backup restoration procedures regularly (at least quarterly).</w:t>
      </w:r>
    </w:p>
    <w:p>
      <w:pPr>
        <w:numPr>
          <w:ilvl w:val="0"/>
          <w:numId w:val="1020"/>
        </w:numPr>
      </w:pPr>
      <w:r>
        <w:t xml:space="preserve">Maintain multiple backup generations with sufficient retention to recover from undetected compromises.</w:t>
      </w:r>
    </w:p>
    <w:p>
      <w:pPr>
        <w:numPr>
          <w:ilvl w:val="0"/>
          <w:numId w:val="1020"/>
        </w:numPr>
      </w:pPr>
      <w:r>
        <w:t xml:space="preserve">Document the recovery procedure and assign clear ownership.</w:t>
      </w:r>
    </w:p>
    <w:bookmarkEnd w:id="67"/>
    <w:bookmarkStart w:id="72"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8"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p>
      <w:pPr>
        <w:pStyle w:val="BlockText"/>
      </w:pPr>
      <w:r>
        <w:t xml:space="preserve">The</w:t>
      </w:r>
      <w:r>
        <w:t xml:space="preserve"> </w:t>
      </w:r>
      <w:hyperlink r:id="rId43">
        <w:r>
          <w:rPr>
            <w:rStyle w:val="Hyperlink"/>
          </w:rPr>
          <w:t xml:space="preserve">WordPress Security Benchmark</w:t>
        </w:r>
      </w:hyperlink>
      <w:r>
        <w:t xml:space="preserve"> </w:t>
      </w:r>
      <w:r>
        <w:t xml:space="preserve">§8.4 provides an auditable control for SBOM maintenance, including tooling recommendations and CI/CD integration guidance.</w:t>
      </w:r>
    </w:p>
    <w:bookmarkEnd w:id="68"/>
    <w:bookmarkStart w:id="69" w:name="plugin-and-theme-management"/>
    <w:p>
      <w:pPr>
        <w:pStyle w:val="Heading3"/>
      </w:pPr>
      <w:r>
        <w:t xml:space="preserve">11.2 Plugin and Theme Management</w:t>
      </w:r>
    </w:p>
    <w:p>
      <w:pPr>
        <w:pStyle w:val="Compact"/>
        <w:numPr>
          <w:ilvl w:val="0"/>
          <w:numId w:val="1021"/>
        </w:numPr>
      </w:pPr>
      <w:r>
        <w:t xml:space="preserve">Only install plugins and themes from trusted sources (WordPress.org repository, reputable commercial vendors).</w:t>
      </w:r>
    </w:p>
    <w:p>
      <w:pPr>
        <w:pStyle w:val="Compact"/>
        <w:numPr>
          <w:ilvl w:val="0"/>
          <w:numId w:val="1021"/>
        </w:numPr>
      </w:pPr>
      <w:r>
        <w:t xml:space="preserve">Evaluate plugins for active maintenance, update frequency, known vulnerabilities, and code quality before deployment.</w:t>
      </w:r>
    </w:p>
    <w:p>
      <w:pPr>
        <w:pStyle w:val="Compact"/>
        <w:numPr>
          <w:ilvl w:val="0"/>
          <w:numId w:val="1021"/>
        </w:numPr>
      </w:pPr>
      <w:r>
        <w:t xml:space="preserve">Remove all unused plugins and themes from the server (deactivation alone is insufficient).</w:t>
      </w:r>
    </w:p>
    <w:p>
      <w:pPr>
        <w:pStyle w:val="Compact"/>
        <w:numPr>
          <w:ilvl w:val="0"/>
          <w:numId w:val="1021"/>
        </w:numPr>
      </w:pPr>
      <w:r>
        <w:t xml:space="preserve">Monitor plugin vulnerability disclosures and apply patches promptly.</w:t>
      </w:r>
    </w:p>
    <w:bookmarkEnd w:id="69"/>
    <w:bookmarkStart w:id="70" w:name="internal-toolchain-security"/>
    <w:p>
      <w:pPr>
        <w:pStyle w:val="Heading3"/>
      </w:pPr>
      <w:r>
        <w:t xml:space="preserve">11.3 Internal Toolchain Security</w:t>
      </w:r>
    </w:p>
    <w:p>
      <w:pPr>
        <w:pStyle w:val="Compact"/>
        <w:numPr>
          <w:ilvl w:val="0"/>
          <w:numId w:val="1022"/>
        </w:numPr>
      </w:pPr>
      <w:r>
        <w:t xml:space="preserve">Verify the integrity of build and deployment tools.</w:t>
      </w:r>
    </w:p>
    <w:p>
      <w:pPr>
        <w:pStyle w:val="Compact"/>
        <w:numPr>
          <w:ilvl w:val="0"/>
          <w:numId w:val="1022"/>
        </w:numPr>
      </w:pPr>
      <w:r>
        <w:t xml:space="preserve">Use version-controlled, auditable deployment pipelines.</w:t>
      </w:r>
    </w:p>
    <w:p>
      <w:pPr>
        <w:pStyle w:val="Compact"/>
        <w:numPr>
          <w:ilvl w:val="0"/>
          <w:numId w:val="1022"/>
        </w:numPr>
      </w:pPr>
      <w:r>
        <w:t xml:space="preserve">Pin dependency versions and verify checksums for all external packages.</w:t>
      </w:r>
    </w:p>
    <w:p>
      <w:pPr>
        <w:pStyle w:val="Compact"/>
        <w:numPr>
          <w:ilvl w:val="0"/>
          <w:numId w:val="1022"/>
        </w:numPr>
      </w:pPr>
      <w:r>
        <w:t xml:space="preserve">Conduct code reviews for custom plugins and theme code before deployment.</w:t>
      </w:r>
    </w:p>
    <w:bookmarkEnd w:id="70"/>
    <w:bookmarkStart w:id="71"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71"/>
    <w:bookmarkEnd w:id="72"/>
    <w:bookmarkStart w:id="79"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3" w:name="employee-and-third-party-access-policies"/>
    <w:p>
      <w:pPr>
        <w:pStyle w:val="Heading3"/>
      </w:pPr>
      <w:r>
        <w:t xml:space="preserve">12.1 Employee and Third-Party Access Policies</w:t>
      </w:r>
    </w:p>
    <w:p>
      <w:pPr>
        <w:numPr>
          <w:ilvl w:val="0"/>
          <w:numId w:val="1023"/>
        </w:numPr>
      </w:pPr>
      <w:r>
        <w:t xml:space="preserve">Require 2FA and VPN for all remote access to WordPress admin interfaces.</w:t>
      </w:r>
    </w:p>
    <w:p>
      <w:pPr>
        <w:numPr>
          <w:ilvl w:val="0"/>
          <w:numId w:val="1023"/>
        </w:numPr>
      </w:pPr>
      <w:r>
        <w:t xml:space="preserve">Require timely OS and software updates on all devices used to access WordPress.</w:t>
      </w:r>
    </w:p>
    <w:p>
      <w:pPr>
        <w:numPr>
          <w:ilvl w:val="0"/>
          <w:numId w:val="1023"/>
        </w:numPr>
      </w:pPr>
      <w:r>
        <w:t xml:space="preserve">Require email scanning for malware and endpoint protection software.</w:t>
      </w:r>
    </w:p>
    <w:p>
      <w:pPr>
        <w:numPr>
          <w:ilvl w:val="0"/>
          <w:numId w:val="1023"/>
        </w:numPr>
      </w:pPr>
      <w:r>
        <w:t xml:space="preserve">Address phishing and social engineering in employee onboarding and recurring training.</w:t>
      </w:r>
    </w:p>
    <w:p>
      <w:pPr>
        <w:numPr>
          <w:ilvl w:val="0"/>
          <w:numId w:val="1023"/>
        </w:numPr>
      </w:pPr>
      <w:r>
        <w:t xml:space="preserve">Define and enforce a BYOD policy or restrict administrative access to managed devices.</w:t>
      </w:r>
    </w:p>
    <w:p>
      <w:pPr>
        <w:numPr>
          <w:ilvl w:val="0"/>
          <w:numId w:val="1023"/>
        </w:numPr>
      </w:pPr>
      <w:r>
        <w:t xml:space="preserve">Terminate access promptly when employees or contractors depart.</w:t>
      </w:r>
    </w:p>
    <w:bookmarkEnd w:id="73"/>
    <w:bookmarkStart w:id="74" w:name="security-policies-and-governance"/>
    <w:p>
      <w:pPr>
        <w:pStyle w:val="Heading3"/>
      </w:pPr>
      <w:r>
        <w:t xml:space="preserve">12.2 Security Policies and Governance</w:t>
      </w:r>
    </w:p>
    <w:p>
      <w:pPr>
        <w:numPr>
          <w:ilvl w:val="0"/>
          <w:numId w:val="1024"/>
        </w:numPr>
      </w:pPr>
      <w:r>
        <w:t xml:space="preserve">Define and enforce a written user security policy covering password standards, session management, and acceptable use.</w:t>
      </w:r>
    </w:p>
    <w:p>
      <w:pPr>
        <w:numPr>
          <w:ilvl w:val="0"/>
          <w:numId w:val="1024"/>
        </w:numPr>
      </w:pPr>
      <w:r>
        <w:t xml:space="preserve">Adopt a Zero-Trust model: continuously verify active users regardless of network location.</w:t>
      </w:r>
    </w:p>
    <w:p>
      <w:pPr>
        <w:numPr>
          <w:ilvl w:val="0"/>
          <w:numId w:val="1024"/>
        </w:numPr>
      </w:pPr>
      <w:r>
        <w:t xml:space="preserve">Establish software version management and update policies with defined SLAs.</w:t>
      </w:r>
    </w:p>
    <w:p>
      <w:pPr>
        <w:numPr>
          <w:ilvl w:val="0"/>
          <w:numId w:val="1024"/>
        </w:numPr>
      </w:pPr>
      <w:r>
        <w:t xml:space="preserve">Define security metrics and conduct regular audits (internal and external).</w:t>
      </w:r>
    </w:p>
    <w:p>
      <w:pPr>
        <w:numPr>
          <w:ilvl w:val="0"/>
          <w:numId w:val="1024"/>
        </w:numPr>
      </w:pPr>
      <w:r>
        <w:t xml:space="preserve">Create, document, and practice an incident response plan with assigned roles (see Section 12.3).</w:t>
      </w:r>
    </w:p>
    <w:p>
      <w:pPr>
        <w:numPr>
          <w:ilvl w:val="0"/>
          <w:numId w:val="1024"/>
        </w:numPr>
      </w:pPr>
      <w:r>
        <w:t xml:space="preserve">Maintain a disaster recovery plan integrated with the business continuity plan.</w:t>
      </w:r>
    </w:p>
    <w:p>
      <w:pPr>
        <w:numPr>
          <w:ilvl w:val="0"/>
          <w:numId w:val="1024"/>
        </w:numPr>
      </w:pPr>
      <w:r>
        <w:t xml:space="preserve">Require written SLAs with hosting providers and third-party data handlers that address security, privacy, and compliance.</w:t>
      </w:r>
    </w:p>
    <w:p>
      <w:pPr>
        <w:numPr>
          <w:ilvl w:val="0"/>
          <w:numId w:val="1024"/>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4"/>
    <w:bookmarkStart w:id="76"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w:t>
      </w:r>
      <w:r>
        <w:t xml:space="preserve"> </w:t>
      </w:r>
      <w:hyperlink r:id="rId75">
        <w:r>
          <w:rPr>
            <w:rStyle w:val="Hyperlink"/>
          </w:rPr>
          <w:t xml:space="preserve">NIST SP 800-61r3</w:t>
        </w:r>
      </w:hyperlink>
      <w:r>
        <w:t xml:space="preserve"> </w:t>
      </w:r>
      <w:r>
        <w:t xml:space="preserve">(Section 3 provides the core incident handling lifecycle):</w:t>
      </w:r>
    </w:p>
    <w:p>
      <w:pPr>
        <w:numPr>
          <w:ilvl w:val="0"/>
          <w:numId w:val="1025"/>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5"/>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5"/>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5"/>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5"/>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5"/>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p>
      <w:pPr>
        <w:pStyle w:val="BlockText"/>
      </w:pPr>
      <w:r>
        <w:t xml:space="preserve">For hands-on-keyboard procedures implementing each phase of this lifecycle — containment commands, forensic artifact capture, malware scanning, credential reset, and recovery validation — see</w:t>
      </w:r>
      <w:r>
        <w:t xml:space="preserve"> </w:t>
      </w:r>
      <w:hyperlink r:id="rId56">
        <w:r>
          <w:rPr>
            <w:rStyle w:val="Hyperlink"/>
          </w:rPr>
          <w:t xml:space="preserve">WordPress Operations Runbook</w:t>
        </w:r>
      </w:hyperlink>
      <w:r>
        <w:t xml:space="preserve"> </w:t>
      </w:r>
      <w:r>
        <w:t xml:space="preserve">§10.3 and §10.4.</w:t>
      </w:r>
    </w:p>
    <w:bookmarkEnd w:id="76"/>
    <w:bookmarkStart w:id="77" w:name="building-a-security-first-culture"/>
    <w:p>
      <w:pPr>
        <w:pStyle w:val="Heading3"/>
      </w:pPr>
      <w:r>
        <w:t xml:space="preserve">12.4 Building a Security-First Culture</w:t>
      </w:r>
    </w:p>
    <w:p>
      <w:pPr>
        <w:pStyle w:val="FirstParagraph"/>
      </w:pPr>
      <w:r>
        <w:t xml:space="preserve">Industry analysts (Gartner Security and Risk Management Summit, 2024) emphasize that third-party breaches are inevitable and that organizations should prioritize resilience over prevention alone. IBM’s Cost of a Data Breach Report (2025) provides the supporting data: 65% of breached organizations reported they had not fully recovered. Organizations should focus on fostering behavioral change over mere awareness:</w:t>
      </w:r>
    </w:p>
    <w:p>
      <w:pPr>
        <w:numPr>
          <w:ilvl w:val="0"/>
          <w:numId w:val="1026"/>
        </w:numPr>
      </w:pPr>
      <w:r>
        <w:t xml:space="preserve">Train teams with simulated breach scenarios and tabletop exercises.</w:t>
      </w:r>
    </w:p>
    <w:p>
      <w:pPr>
        <w:numPr>
          <w:ilvl w:val="0"/>
          <w:numId w:val="1026"/>
        </w:numPr>
      </w:pPr>
      <w:r>
        <w:t xml:space="preserve">Make security practices habitual, not just policy documents.</w:t>
      </w:r>
    </w:p>
    <w:p>
      <w:pPr>
        <w:numPr>
          <w:ilvl w:val="0"/>
          <w:numId w:val="1026"/>
        </w:numPr>
      </w:pPr>
      <w:r>
        <w:t xml:space="preserve">Ensure norms, values, and assumptions across the organization align with security goals.</w:t>
      </w:r>
    </w:p>
    <w:p>
      <w:pPr>
        <w:numPr>
          <w:ilvl w:val="0"/>
          <w:numId w:val="1026"/>
        </w:numPr>
      </w:pPr>
      <w:r>
        <w:t xml:space="preserve">Empower all team members to identify and report potential compromise.</w:t>
      </w:r>
    </w:p>
    <w:bookmarkEnd w:id="77"/>
    <w:bookmarkStart w:id="78"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7"/>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7"/>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7"/>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7"/>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7"/>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7"/>
        </w:numPr>
      </w:pPr>
      <w:r>
        <w:rPr>
          <w:b/>
          <w:bCs/>
        </w:rPr>
        <w:t xml:space="preserve">Retention Policies:</w:t>
      </w:r>
      <w:r>
        <w:t xml:space="preserve"> </w:t>
      </w:r>
      <w:r>
        <w:t xml:space="preserve">Define and enforce data retention schedules. Automatically purge data that is no longer needed for its stated purpose.</w:t>
      </w:r>
    </w:p>
    <w:bookmarkEnd w:id="78"/>
    <w:bookmarkEnd w:id="79"/>
    <w:bookmarkStart w:id="80"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8"/>
        </w:numPr>
      </w:pPr>
      <w:r>
        <w:t xml:space="preserve">Per-site process isolation in containerized or chroot environments.</w:t>
      </w:r>
    </w:p>
    <w:p>
      <w:pPr>
        <w:pStyle w:val="Compact"/>
        <w:numPr>
          <w:ilvl w:val="0"/>
          <w:numId w:val="1028"/>
        </w:numPr>
      </w:pPr>
      <w:r>
        <w:t xml:space="preserve">Managed, automated patching for the full server stack (OS, PHP, database, web server).</w:t>
      </w:r>
    </w:p>
    <w:p>
      <w:pPr>
        <w:pStyle w:val="Compact"/>
        <w:numPr>
          <w:ilvl w:val="0"/>
          <w:numId w:val="1028"/>
        </w:numPr>
      </w:pPr>
      <w:r>
        <w:t xml:space="preserve">Multiple upstream security layers (network-level DDoS mitigation, WAF, intrusion detection).</w:t>
      </w:r>
    </w:p>
    <w:p>
      <w:pPr>
        <w:pStyle w:val="Compact"/>
        <w:numPr>
          <w:ilvl w:val="0"/>
          <w:numId w:val="1028"/>
        </w:numPr>
      </w:pPr>
      <w:r>
        <w:t xml:space="preserve">Automated, offsite backups with tested recovery procedures.</w:t>
      </w:r>
    </w:p>
    <w:p>
      <w:pPr>
        <w:pStyle w:val="Compact"/>
        <w:numPr>
          <w:ilvl w:val="0"/>
          <w:numId w:val="1028"/>
        </w:numPr>
      </w:pPr>
      <w:r>
        <w:t xml:space="preserve">Relevant certifications: SOC 2, PCI DSS, GDPR-aligned data processing agreements, and for government/education, FedRAMP or equivalent.</w:t>
      </w:r>
    </w:p>
    <w:p>
      <w:pPr>
        <w:pStyle w:val="Compact"/>
        <w:numPr>
          <w:ilvl w:val="0"/>
          <w:numId w:val="1028"/>
        </w:numPr>
      </w:pPr>
      <w:r>
        <w:t xml:space="preserve">An immutable filesystem where applicable, preventing runtime file modifications.</w:t>
      </w:r>
    </w:p>
    <w:p>
      <w:pPr>
        <w:pStyle w:val="FirstParagraph"/>
      </w:pPr>
      <w:r>
        <w:t xml:space="preserve">Leading enterprise WordPress hosts 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80"/>
    <w:bookmarkStart w:id="84"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81"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9"/>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9"/>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81"/>
    <w:bookmarkStart w:id="82"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(distinct from the 16% of breaches involving attacker AI use in Section 14.1),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82"/>
    <w:bookmarkStart w:id="83" w:name="securing-ai-integrations-in-wordpress"/>
    <w:p>
      <w:pPr>
        <w:pStyle w:val="Heading3"/>
      </w:pPr>
      <w:r>
        <w:t xml:space="preserve">14.3 Securing AI Integrations in WordPress</w:t>
      </w:r>
    </w:p>
    <w:p>
      <w:pPr>
        <w:pStyle w:val="Compact"/>
        <w:numPr>
          <w:ilvl w:val="0"/>
          <w:numId w:val="1030"/>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30"/>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30"/>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30"/>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30"/>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30"/>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3"/>
    <w:bookmarkEnd w:id="84"/>
    <w:bookmarkStart w:id="108" w:name="additional-resources"/>
    <w:p>
      <w:pPr>
        <w:pStyle w:val="Heading2"/>
      </w:pPr>
      <w:r>
        <w:t xml:space="preserve">15. Additional Resources</w:t>
      </w:r>
    </w:p>
    <w:bookmarkStart w:id="89" w:name="wordpress-security-documentation"/>
    <w:p>
      <w:pPr>
        <w:pStyle w:val="Heading3"/>
      </w:pPr>
      <w:r>
        <w:t xml:space="preserve">15.1 WordPress Security Documentation</w:t>
      </w:r>
    </w:p>
    <w:p>
      <w:pPr>
        <w:pStyle w:val="Compact"/>
        <w:numPr>
          <w:ilvl w:val="0"/>
          <w:numId w:val="1031"/>
        </w:numPr>
      </w:pPr>
      <w:hyperlink r:id="rId85">
        <w:r>
          <w:rPr>
            <w:rStyle w:val="Hyperlink"/>
          </w:rPr>
          <w:t xml:space="preserve">Hardening WordPress — Advanced Administration Handbook</w:t>
        </w:r>
      </w:hyperlink>
    </w:p>
    <w:p>
      <w:pPr>
        <w:pStyle w:val="Compact"/>
        <w:numPr>
          <w:ilvl w:val="0"/>
          <w:numId w:val="1031"/>
        </w:numPr>
      </w:pPr>
      <w:hyperlink r:id="rId22">
        <w:r>
          <w:rPr>
            <w:rStyle w:val="Hyperlink"/>
          </w:rPr>
          <w:t xml:space="preserve">WordPress Security White Paper</w:t>
        </w:r>
      </w:hyperlink>
      <w:r>
        <w:t xml:space="preserve"> </w:t>
      </w:r>
      <w:r>
        <w:t xml:space="preserve">(</w:t>
      </w:r>
      <w:hyperlink r:id="rId86">
        <w:r>
          <w:rPr>
            <w:rStyle w:val="Hyperlink"/>
          </w:rPr>
          <w:t xml:space="preserve">source</w:t>
        </w:r>
      </w:hyperlink>
      <w:r>
        <w:t xml:space="preserve">)</w:t>
      </w:r>
    </w:p>
    <w:p>
      <w:pPr>
        <w:pStyle w:val="Compact"/>
        <w:numPr>
          <w:ilvl w:val="0"/>
          <w:numId w:val="1031"/>
        </w:numPr>
      </w:pPr>
      <w:hyperlink r:id="rId87">
        <w:r>
          <w:rPr>
            <w:rStyle w:val="Hyperlink"/>
          </w:rPr>
          <w:t xml:space="preserve">Brute Force Attacks (developer.wordpress.org)</w:t>
        </w:r>
      </w:hyperlink>
    </w:p>
    <w:p>
      <w:pPr>
        <w:pStyle w:val="Compact"/>
        <w:numPr>
          <w:ilvl w:val="0"/>
          <w:numId w:val="1031"/>
        </w:numPr>
      </w:pPr>
      <w:hyperlink r:id="rId88">
        <w:r>
          <w:rPr>
            <w:rStyle w:val="Hyperlink"/>
          </w:rPr>
          <w:t xml:space="preserve">WordPress VIP Security Best Practices</w:t>
        </w:r>
      </w:hyperlink>
    </w:p>
    <w:bookmarkEnd w:id="89"/>
    <w:bookmarkStart w:id="98" w:name="threat-intelligence-and-industry-reports"/>
    <w:p>
      <w:pPr>
        <w:pStyle w:val="Heading3"/>
      </w:pPr>
      <w:r>
        <w:t xml:space="preserve">15.2 Threat Intelligence and Industry Reports</w:t>
      </w:r>
    </w:p>
    <w:p>
      <w:pPr>
        <w:pStyle w:val="Compact"/>
        <w:numPr>
          <w:ilvl w:val="0"/>
          <w:numId w:val="1032"/>
        </w:numPr>
      </w:pPr>
      <w:hyperlink r:id="rId90">
        <w:r>
          <w:rPr>
            <w:rStyle w:val="Hyperlink"/>
          </w:rPr>
          <w:t xml:space="preserve">OWASP Top 10:2025 Web Application Security Risks</w:t>
        </w:r>
      </w:hyperlink>
    </w:p>
    <w:p>
      <w:pPr>
        <w:pStyle w:val="Compact"/>
        <w:numPr>
          <w:ilvl w:val="0"/>
          <w:numId w:val="1032"/>
        </w:numPr>
      </w:pPr>
      <w:hyperlink r:id="rId91">
        <w:r>
          <w:rPr>
            <w:rStyle w:val="Hyperlink"/>
          </w:rPr>
          <w:t xml:space="preserve">Patchstack State of WordPress Security (annual whitepaper)</w:t>
        </w:r>
      </w:hyperlink>
    </w:p>
    <w:p>
      <w:pPr>
        <w:pStyle w:val="Compact"/>
        <w:numPr>
          <w:ilvl w:val="0"/>
          <w:numId w:val="1032"/>
        </w:numPr>
      </w:pPr>
      <w:hyperlink r:id="rId92">
        <w:r>
          <w:rPr>
            <w:rStyle w:val="Hyperlink"/>
          </w:rPr>
          <w:t xml:space="preserve">Wordfence Annual WordPress Security Report</w:t>
        </w:r>
      </w:hyperlink>
    </w:p>
    <w:p>
      <w:pPr>
        <w:pStyle w:val="Compact"/>
        <w:numPr>
          <w:ilvl w:val="0"/>
          <w:numId w:val="1032"/>
        </w:numPr>
      </w:pPr>
      <w:hyperlink r:id="rId93">
        <w:r>
          <w:rPr>
            <w:rStyle w:val="Hyperlink"/>
          </w:rPr>
          <w:t xml:space="preserve">Sucuri Website Threat Research Report</w:t>
        </w:r>
      </w:hyperlink>
    </w:p>
    <w:p>
      <w:pPr>
        <w:pStyle w:val="Compact"/>
        <w:numPr>
          <w:ilvl w:val="0"/>
          <w:numId w:val="1032"/>
        </w:numPr>
      </w:pPr>
      <w:hyperlink r:id="rId94">
        <w:r>
          <w:rPr>
            <w:rStyle w:val="Hyperlink"/>
          </w:rPr>
          <w:t xml:space="preserve">Verizon Data Breach Investigations Report</w:t>
        </w:r>
      </w:hyperlink>
    </w:p>
    <w:p>
      <w:pPr>
        <w:pStyle w:val="Compact"/>
        <w:numPr>
          <w:ilvl w:val="0"/>
          <w:numId w:val="1032"/>
        </w:numPr>
      </w:pPr>
      <w:hyperlink r:id="rId95">
        <w:r>
          <w:rPr>
            <w:rStyle w:val="Hyperlink"/>
          </w:rPr>
          <w:t xml:space="preserve">IBM X-Force Threat Intelligence Index</w:t>
        </w:r>
      </w:hyperlink>
    </w:p>
    <w:p>
      <w:pPr>
        <w:pStyle w:val="Compact"/>
        <w:numPr>
          <w:ilvl w:val="0"/>
          <w:numId w:val="1032"/>
        </w:numPr>
      </w:pPr>
      <w:hyperlink r:id="rId96">
        <w:r>
          <w:rPr>
            <w:rStyle w:val="Hyperlink"/>
          </w:rPr>
          <w:t xml:space="preserve">IBM Cost of a Data Breach Report</w:t>
        </w:r>
      </w:hyperlink>
    </w:p>
    <w:p>
      <w:pPr>
        <w:pStyle w:val="Compact"/>
        <w:numPr>
          <w:ilvl w:val="0"/>
          <w:numId w:val="1032"/>
        </w:numPr>
      </w:pPr>
      <w:hyperlink r:id="rId97">
        <w:r>
          <w:rPr>
            <w:rStyle w:val="Hyperlink"/>
          </w:rPr>
          <w:t xml:space="preserve">CISA Known Exploited Vulnerabilities Catalog</w:t>
        </w:r>
      </w:hyperlink>
    </w:p>
    <w:bookmarkEnd w:id="98"/>
    <w:bookmarkStart w:id="102" w:name="standards-and-frameworks"/>
    <w:p>
      <w:pPr>
        <w:pStyle w:val="Heading3"/>
      </w:pPr>
      <w:r>
        <w:t xml:space="preserve">15.3 Standards and Frameworks</w:t>
      </w:r>
    </w:p>
    <w:p>
      <w:pPr>
        <w:pStyle w:val="Compact"/>
        <w:numPr>
          <w:ilvl w:val="0"/>
          <w:numId w:val="1033"/>
        </w:numPr>
      </w:pPr>
      <w:hyperlink r:id="rId99">
        <w:r>
          <w:rPr>
            <w:rStyle w:val="Hyperlink"/>
          </w:rPr>
          <w:t xml:space="preserve">NIST SP 800-63B: Digital Identity Guidelines — Authentication (Revision 4)</w:t>
        </w:r>
      </w:hyperlink>
    </w:p>
    <w:p>
      <w:pPr>
        <w:pStyle w:val="Compact"/>
        <w:numPr>
          <w:ilvl w:val="0"/>
          <w:numId w:val="1033"/>
        </w:numPr>
      </w:pPr>
      <w:hyperlink r:id="rId75">
        <w:r>
          <w:rPr>
            <w:rStyle w:val="Hyperlink"/>
          </w:rPr>
          <w:t xml:space="preserve">NIST SP 800-61r3: Incident Response Recommendations and Considerations</w:t>
        </w:r>
      </w:hyperlink>
    </w:p>
    <w:p>
      <w:pPr>
        <w:pStyle w:val="Compact"/>
        <w:numPr>
          <w:ilvl w:val="0"/>
          <w:numId w:val="1033"/>
        </w:numPr>
      </w:pPr>
      <w:hyperlink r:id="rId100">
        <w:r>
          <w:rPr>
            <w:rStyle w:val="Hyperlink"/>
          </w:rPr>
          <w:t xml:space="preserve">CIS Benchmarks</w:t>
        </w:r>
      </w:hyperlink>
    </w:p>
    <w:p>
      <w:pPr>
        <w:pStyle w:val="Compact"/>
        <w:numPr>
          <w:ilvl w:val="0"/>
          <w:numId w:val="1033"/>
        </w:numPr>
      </w:pPr>
      <w:hyperlink r:id="rId101">
        <w:r>
          <w:rPr>
            <w:rStyle w:val="Hyperlink"/>
          </w:rPr>
          <w:t xml:space="preserve">ISO/IEC 27000: Information Security Management</w:t>
        </w:r>
      </w:hyperlink>
    </w:p>
    <w:bookmarkEnd w:id="102"/>
    <w:bookmarkStart w:id="105" w:name="X00fc8c82620e041623f6fee31e62d29d538d53d"/>
    <w:p>
      <w:pPr>
        <w:pStyle w:val="Heading3"/>
      </w:pPr>
      <w:r>
        <w:t xml:space="preserve">15.4 Security Culture and Organizational Practices</w:t>
      </w:r>
    </w:p>
    <w:p>
      <w:pPr>
        <w:pStyle w:val="Compact"/>
        <w:numPr>
          <w:ilvl w:val="0"/>
          <w:numId w:val="1034"/>
        </w:numPr>
      </w:pPr>
      <w:hyperlink r:id="rId103">
        <w:r>
          <w:rPr>
            <w:rStyle w:val="Hyperlink"/>
          </w:rPr>
          <w:t xml:space="preserve">KnowBe4: Security Culture</w:t>
        </w:r>
      </w:hyperlink>
    </w:p>
    <w:p>
      <w:pPr>
        <w:pStyle w:val="Compact"/>
        <w:numPr>
          <w:ilvl w:val="0"/>
          <w:numId w:val="1034"/>
        </w:numPr>
      </w:pPr>
      <w:hyperlink r:id="rId104">
        <w:r>
          <w:rPr>
            <w:rStyle w:val="Hyperlink"/>
          </w:rPr>
          <w:t xml:space="preserve">NIST: Users Are Not Stupid — Six Cyber Security Pitfalls Overturned</w:t>
        </w:r>
      </w:hyperlink>
    </w:p>
    <w:bookmarkEnd w:id="105"/>
    <w:bookmarkStart w:id="106" w:name="X55c9101f92aa676e1a168fbd28368937284e15a"/>
    <w:p>
      <w:pPr>
        <w:pStyle w:val="Heading3"/>
      </w:pPr>
      <w:r>
        <w:t xml:space="preserve">15.5 Deprecated and Invalid Constants Guardrail</w:t>
      </w:r>
    </w:p>
    <w:p>
      <w:pPr>
        <w:pStyle w:val="FirstParagraph"/>
      </w:pPr>
      <w:r>
        <w:t xml:space="preserve">Avoid documenting or implementing the following symbols as hardening controls:</w:t>
      </w:r>
    </w:p>
    <w:p>
      <w:pPr>
        <w:pStyle w:val="Compact"/>
        <w:numPr>
          <w:ilvl w:val="0"/>
          <w:numId w:val="1035"/>
        </w:numPr>
      </w:pPr>
      <w:r>
        <w:rPr>
          <w:rStyle w:val="VerbatimChar"/>
        </w:rPr>
        <w:t xml:space="preserve">FORCE_SSL_LOGIN</w:t>
      </w:r>
      <w:r>
        <w:t xml:space="preserve"> </w:t>
      </w:r>
      <w:r>
        <w:t xml:space="preserve">(deprecated)</w:t>
      </w:r>
    </w:p>
    <w:p>
      <w:pPr>
        <w:pStyle w:val="Compact"/>
        <w:numPr>
          <w:ilvl w:val="0"/>
          <w:numId w:val="1035"/>
        </w:numPr>
      </w:pPr>
      <w:r>
        <w:rPr>
          <w:rStyle w:val="VerbatimChar"/>
        </w:rPr>
        <w:t xml:space="preserve">DISALLOW_PLUGIN_EDITING</w:t>
      </w:r>
      <w:r>
        <w:t xml:space="preserve"> </w:t>
      </w:r>
      <w:r>
        <w:t xml:space="preserve">(not a core constant)</w:t>
      </w:r>
    </w:p>
    <w:p>
      <w:pPr>
        <w:pStyle w:val="Compact"/>
        <w:numPr>
          <w:ilvl w:val="0"/>
          <w:numId w:val="1035"/>
        </w:numPr>
      </w:pPr>
      <w:r>
        <w:rPr>
          <w:rStyle w:val="VerbatimChar"/>
        </w:rPr>
        <w:t xml:space="preserve">DISALLOW_PLUGIN_ACTIVATION</w:t>
      </w:r>
      <w:r>
        <w:t xml:space="preserve"> </w:t>
      </w:r>
      <w:r>
        <w:t xml:space="preserve">(not a core constant)</w:t>
      </w:r>
    </w:p>
    <w:p>
      <w:pPr>
        <w:pStyle w:val="Compact"/>
        <w:numPr>
          <w:ilvl w:val="0"/>
          <w:numId w:val="1035"/>
        </w:numPr>
      </w:pPr>
      <w:r>
        <w:rPr>
          <w:rStyle w:val="VerbatimChar"/>
        </w:rPr>
        <w:t xml:space="preserve">SECURE_LOGGED_IN_COOKIE</w:t>
      </w:r>
      <w:r>
        <w:t xml:space="preserve"> </w:t>
      </w:r>
      <w:r>
        <w:t xml:space="preserve">(not a core constant)</w:t>
      </w:r>
    </w:p>
    <w:p>
      <w:pPr>
        <w:pStyle w:val="Compact"/>
        <w:numPr>
          <w:ilvl w:val="0"/>
          <w:numId w:val="1035"/>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set internally during XML-RPC requests)</w:t>
      </w:r>
    </w:p>
    <w:p>
      <w:pPr>
        <w:pStyle w:val="FirstParagraph"/>
      </w:pPr>
      <w:r>
        <w:t xml:space="preserve">For Argon2 algorithm selection, reference the</w:t>
      </w:r>
      <w:r>
        <w:t xml:space="preserve"> </w:t>
      </w:r>
      <w:r>
        <w:rPr>
          <w:rStyle w:val="VerbatimChar"/>
        </w:rPr>
        <w:t xml:space="preserve">wp_hash_password_algorithm</w:t>
      </w:r>
      <w:r>
        <w:t xml:space="preserve"> </w:t>
      </w:r>
      <w:r>
        <w:t xml:space="preserve">filter.</w:t>
      </w:r>
    </w:p>
    <w:bookmarkEnd w:id="106"/>
    <w:bookmarkStart w:id="107" w:name="X24eb9b3eb0d379335dea7aa77a9efbdf30a22dc"/>
    <w:p>
      <w:pPr>
        <w:pStyle w:val="Heading3"/>
      </w:pPr>
      <w:r>
        <w:t xml:space="preserve">15.6 Cross-Document Control Classification Matrix</w:t>
      </w:r>
    </w:p>
    <w:p>
      <w:pPr>
        <w:pStyle w:val="FirstParagraph"/>
      </w:pPr>
      <w:r>
        <w:t xml:space="preserve">Use this matrix to keep this guide aligned with the Benchmark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 process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07"/>
    <w:bookmarkEnd w:id="108"/>
    <w:bookmarkStart w:id="109" w:name="related-documents"/>
    <w:p>
      <w:pPr>
        <w:pStyle w:val="Heading2"/>
      </w:pPr>
      <w:r>
        <w:t xml:space="preserve">Related Documents</w:t>
      </w:r>
    </w:p>
    <w:p>
      <w:pPr>
        <w:pStyle w:val="Compact"/>
        <w:numPr>
          <w:ilvl w:val="0"/>
          <w:numId w:val="1036"/>
        </w:numPr>
      </w:pPr>
      <w:hyperlink r:id="rId43">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6"/>
        </w:numPr>
      </w:pPr>
      <w:hyperlink r:id="rId47">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6"/>
        </w:numPr>
      </w:pPr>
      <w:hyperlink r:id="rId56">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36"/>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2">
        <w:r>
          <w:rPr>
            <w:rStyle w:val="Hyperlink"/>
          </w:rPr>
          <w:t xml:space="preserve">wordpress.org/about/security/</w:t>
        </w:r>
      </w:hyperlink>
      <w:r>
        <w:t xml:space="preserve"> </w:t>
      </w:r>
      <w:r>
        <w:t xml:space="preserve">(</w:t>
      </w:r>
      <w:hyperlink r:id="rId86">
        <w:r>
          <w:rPr>
            <w:rStyle w:val="Hyperlink"/>
          </w:rPr>
          <w:t xml:space="preserve">source repository</w:t>
        </w:r>
      </w:hyperlink>
      <w:r>
        <w:t xml:space="preserve">).</w:t>
      </w:r>
    </w:p>
    <w:bookmarkEnd w:id="109"/>
    <w:bookmarkStart w:id="111" w:name="license-and-attribution"/>
    <w:p>
      <w:pPr>
        <w:pStyle w:val="Heading2"/>
      </w:pPr>
      <w:r>
        <w:t xml:space="preserve">License and Attribution</w:t>
      </w:r>
    </w:p>
    <w:p>
      <w:pPr>
        <w:pStyle w:val="FirstParagraph"/>
      </w:pPr>
      <w:r>
        <w:t xml:space="preserve">This document is licensed under the</w:t>
      </w:r>
      <w:r>
        <w:t xml:space="preserve"> </w:t>
      </w:r>
      <w:hyperlink r:id="rId110">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10" Target="https://creativecommons.org/licenses/by-sa/4.0/" TargetMode="External" /><Relationship Type="http://schemas.openxmlformats.org/officeDocument/2006/relationships/hyperlink" Id="rId75" Target="https://csrc.nist.gov/pubs/sp/800/61/r3/final" TargetMode="External" /><Relationship Type="http://schemas.openxmlformats.org/officeDocument/2006/relationships/hyperlink" Id="rId87" Target="https://developer.wordpress.org/advanced-administration/security/brute-force/" TargetMode="External" /><Relationship Type="http://schemas.openxmlformats.org/officeDocument/2006/relationships/hyperlink" Id="rId85" Target="https://developer.wordpress.org/advanced-administration/security/hardening/" TargetMode="External" /><Relationship Type="http://schemas.openxmlformats.org/officeDocument/2006/relationships/hyperlink" Id="rId88" Target="https://docs.wpvip.com/security/" TargetMode="External" /><Relationship Type="http://schemas.openxmlformats.org/officeDocument/2006/relationships/hyperlink" Id="rId86" Target="https://github.com/WordPress/Security-White-Paper" TargetMode="External" /><Relationship Type="http://schemas.openxmlformats.org/officeDocument/2006/relationships/hyperlink" Id="rId56" Target="https://github.com/dknauss/wordpress-runbook-template" TargetMode="External" /><Relationship Type="http://schemas.openxmlformats.org/officeDocument/2006/relationships/hyperlink" Id="rId43" Target="https://github.com/dknauss/wp-security-benchmark" TargetMode="External" /><Relationship Type="http://schemas.openxmlformats.org/officeDocument/2006/relationships/hyperlink" Id="rId47"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5" Target="https://make.wordpress.org/core/handbook/about/release-cycle/" TargetMode="External" /><Relationship Type="http://schemas.openxmlformats.org/officeDocument/2006/relationships/hyperlink" Id="rId90" Target="https://owasp.org/Top10/2025/" TargetMode="External" /><Relationship Type="http://schemas.openxmlformats.org/officeDocument/2006/relationships/hyperlink" Id="rId99" Target="https://pages.nist.gov/800-63-4/sp800-63b.html" TargetMode="External" /><Relationship Type="http://schemas.openxmlformats.org/officeDocument/2006/relationships/hyperlink" Id="rId91" Target="https://patchstack.com/whitepaper/" TargetMode="External" /><Relationship Type="http://schemas.openxmlformats.org/officeDocument/2006/relationships/hyperlink" Id="rId93"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7" Target="https://www.cisa.gov/known-exploited-vulnerabilities-catalog" TargetMode="External" /><Relationship Type="http://schemas.openxmlformats.org/officeDocument/2006/relationships/hyperlink" Id="rId100" Target="https://www.cisecurity.org/cis-benchmarks" TargetMode="External" /><Relationship Type="http://schemas.openxmlformats.org/officeDocument/2006/relationships/hyperlink" Id="rId96" Target="https://www.ibm.com/reports/data-breach" TargetMode="External" /><Relationship Type="http://schemas.openxmlformats.org/officeDocument/2006/relationships/hyperlink" Id="rId95" Target="https://www.ibm.com/reports/threat-intelligence" TargetMode="External" /><Relationship Type="http://schemas.openxmlformats.org/officeDocument/2006/relationships/hyperlink" Id="rId101" Target="https://www.iso.org/standard/73906.html" TargetMode="External" /><Relationship Type="http://schemas.openxmlformats.org/officeDocument/2006/relationships/hyperlink" Id="rId103" Target="https://www.knowbe4.com/security-culture" TargetMode="External" /><Relationship Type="http://schemas.openxmlformats.org/officeDocument/2006/relationships/hyperlink" Id="rId104" Target="https://www.nist.gov/" TargetMode="External" /><Relationship Type="http://schemas.openxmlformats.org/officeDocument/2006/relationships/hyperlink" Id="rId94" Target="https://www.verizon.com/business/resources/reports/dbir/" TargetMode="External" /><Relationship Type="http://schemas.openxmlformats.org/officeDocument/2006/relationships/hyperlink" Id="rId92"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2026-03-12T23:16:23Z</dcterms:created>
  <dcterms:modified xsi:type="dcterms:W3CDTF">2026-03-12T23:16:23Z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Enterprise Best Practices and Threat Mitigation</vt:lpwstr>
  </property>
  <property fmtid="{D5CDD505-2E9C-101B-9397-08002B2CF9AE}" pid="4" name="version">
    <vt:lpwstr>1.0</vt:lpwstr>
  </property>
</Properties>
</file>