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About WordPress and Security: A Style Guide</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5" w:name="Xbf9a43fea942dd9efa0cee408936bf32b0f6e43"/>
    <w:p>
      <w:pPr>
        <w:pStyle w:val="Heading1"/>
      </w:pPr>
      <w:r>
        <w:t xml:space="preserve">Writing About WordPress and Security: A Style Guide</w:t>
      </w:r>
    </w:p>
    <w:p>
      <w:pPr>
        <w:pStyle w:val="FirstParagraph"/>
      </w:pPr>
      <w:r>
        <w:rPr>
          <w:b/>
          <w:bCs/>
        </w:rPr>
        <w:t xml:space="preserve">Principles, Practices, and Terminology for Clear, Honest, and Empowering Security Communication</w:t>
      </w:r>
    </w:p>
    <w:p>
      <w:pPr>
        <w:pStyle w:val="BodyText"/>
      </w:pPr>
      <w:hyperlink r:id="rId20">
        <w:r>
          <w:rPr>
            <w:rStyle w:val="Hyperlink"/>
          </w:rPr>
          <w:t xml:space="preserve">Dan Knauss</w:t>
        </w:r>
      </w:hyperlink>
    </w:p>
    <w:p>
      <w:pPr>
        <w:pStyle w:val="BodyText"/>
      </w:pPr>
      <w:r>
        <w:t xml:space="preserve">March 1, 2026</w:t>
      </w:r>
    </w:p>
    <w:p>
      <w:pPr>
        <w:pStyle w:val="BodyText"/>
      </w:pPr>
      <w:r>
        <w:t xml:space="preserve">Version 1.0</w:t>
      </w:r>
    </w:p>
    <w:bookmarkStart w:id="21" w:name="X36581bebeabca3416158536cdfb70d32280bdb0"/>
    <w:p>
      <w:pPr>
        <w:pStyle w:val="Heading2"/>
      </w:pPr>
      <w:r>
        <w:t xml:space="preserve">1. Security, Vulnerability, and Trust in Open Source</w:t>
      </w:r>
    </w:p>
    <w:p>
      <w:pPr>
        <w:pStyle w:val="FirstParagraph"/>
      </w:pPr>
      <w:r>
        <w:t xml:space="preserve">Security isn’t anyone’s product — even if they create, maintain, and sell a security product — but security is everyone’s responsibility.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1"/>
    <w:bookmarkStart w:id="22"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2"/>
    <w:bookmarkStart w:id="29" w:name="X5418bea311ee78f0b13c4ebe983ce94ac3fa145"/>
    <w:p>
      <w:pPr>
        <w:pStyle w:val="Heading2"/>
      </w:pPr>
      <w:r>
        <w:t xml:space="preserve">3. Writing about Security and Vulnerabilities in WordPress</w:t>
      </w:r>
    </w:p>
    <w:bookmarkStart w:id="23"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3"/>
    <w:bookmarkStart w:id="24"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4"/>
    <w:bookmarkStart w:id="25"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5"/>
    <w:bookmarkStart w:id="26"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6"/>
    <w:bookmarkStart w:id="27"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7"/>
    <w:bookmarkStart w:id="28"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8"/>
    <w:bookmarkEnd w:id="29"/>
    <w:bookmarkStart w:id="33" w:name="audience-voice-and-tone"/>
    <w:p>
      <w:pPr>
        <w:pStyle w:val="Heading2"/>
      </w:pPr>
      <w:r>
        <w:t xml:space="preserve">4. Audience, Voice, and Tone</w:t>
      </w:r>
    </w:p>
    <w:bookmarkStart w:id="30"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4"/>
        </w:numPr>
      </w:pPr>
      <w:r>
        <w:t xml:space="preserve">WordPress site owners and administrators who manage one or more sites and need practical, actionable guidance.</w:t>
      </w:r>
    </w:p>
    <w:p>
      <w:pPr>
        <w:numPr>
          <w:ilvl w:val="0"/>
          <w:numId w:val="1004"/>
        </w:numPr>
      </w:pPr>
      <w:r>
        <w:t xml:space="preserve">Developers and engineers building custom themes, plugins, or integrations who need technically precise information.</w:t>
      </w:r>
    </w:p>
    <w:p>
      <w:pPr>
        <w:numPr>
          <w:ilvl w:val="0"/>
          <w:numId w:val="1004"/>
        </w:numPr>
      </w:pPr>
      <w:r>
        <w:t xml:space="preserve">Enterprise decision-makers (CTOs, CISOs, IT directors) evaluating WordPress for compliance, risk, and organizational security requirements.</w:t>
      </w:r>
    </w:p>
    <w:p>
      <w:pPr>
        <w:numPr>
          <w:ilvl w:val="0"/>
          <w:numId w:val="1004"/>
        </w:numPr>
      </w:pPr>
      <w:r>
        <w:t xml:space="preserve">Non-technical stakeholders (marketers, content editors, business owners) who interact with WordPress daily but have limited security knowledge.</w:t>
      </w:r>
    </w:p>
    <w:p>
      <w:pPr>
        <w:numPr>
          <w:ilvl w:val="0"/>
          <w:numId w:val="1004"/>
        </w:numPr>
      </w:pPr>
      <w:r>
        <w:t xml:space="preserve">WordPress community members and contributors, including those involved in core development, plugin review, and support forums.</w:t>
      </w:r>
    </w:p>
    <w:bookmarkEnd w:id="30"/>
    <w:bookmarkStart w:id="31" w:name="voice"/>
    <w:p>
      <w:pPr>
        <w:pStyle w:val="Heading3"/>
      </w:pPr>
      <w:r>
        <w:t xml:space="preserve">4.2 Voice</w:t>
      </w:r>
    </w:p>
    <w:p>
      <w:pPr>
        <w:pStyle w:val="FirstParagraph"/>
      </w:pPr>
      <w:r>
        <w:t xml:space="preserve">Your voice should convey the brand’s personality and values. It is:</w:t>
      </w:r>
    </w:p>
    <w:p>
      <w:pPr>
        <w:numPr>
          <w:ilvl w:val="0"/>
          <w:numId w:val="1005"/>
        </w:numPr>
      </w:pPr>
      <w:r>
        <w:rPr>
          <w:b/>
          <w:bCs/>
        </w:rPr>
        <w:t xml:space="preserve">Confident</w:t>
      </w:r>
      <w:r>
        <w:t xml:space="preserve"> </w:t>
      </w:r>
      <w:r>
        <w:t xml:space="preserve">— grounded in knowledge and experience, never bluffing or overpromising.</w:t>
      </w:r>
    </w:p>
    <w:p>
      <w:pPr>
        <w:numPr>
          <w:ilvl w:val="0"/>
          <w:numId w:val="1005"/>
        </w:numPr>
      </w:pPr>
      <w:r>
        <w:rPr>
          <w:b/>
          <w:bCs/>
        </w:rPr>
        <w:t xml:space="preserve">Candid</w:t>
      </w:r>
      <w:r>
        <w:t xml:space="preserve"> </w:t>
      </w:r>
      <w:r>
        <w:t xml:space="preserve">— honest about problems, limitations, and uncertainty.</w:t>
      </w:r>
    </w:p>
    <w:p>
      <w:pPr>
        <w:numPr>
          <w:ilvl w:val="0"/>
          <w:numId w:val="1005"/>
        </w:numPr>
      </w:pPr>
      <w:r>
        <w:rPr>
          <w:b/>
          <w:bCs/>
        </w:rPr>
        <w:t xml:space="preserve">Expert</w:t>
      </w:r>
      <w:r>
        <w:t xml:space="preserve"> </w:t>
      </w:r>
      <w:r>
        <w:t xml:space="preserve">— technically accurate, well-sourced, and current.</w:t>
      </w:r>
    </w:p>
    <w:p>
      <w:pPr>
        <w:numPr>
          <w:ilvl w:val="0"/>
          <w:numId w:val="1005"/>
        </w:numPr>
      </w:pPr>
      <w:r>
        <w:rPr>
          <w:b/>
          <w:bCs/>
        </w:rPr>
        <w:t xml:space="preserve">Accessible</w:t>
      </w:r>
      <w:r>
        <w:t xml:space="preserve"> </w:t>
      </w:r>
      <w:r>
        <w:t xml:space="preserve">— warm, clear, and human. Real people write this, and real people read it.</w:t>
      </w:r>
    </w:p>
    <w:p>
      <w:pPr>
        <w:numPr>
          <w:ilvl w:val="0"/>
          <w:numId w:val="1005"/>
        </w:numPr>
      </w:pPr>
      <w:r>
        <w:rPr>
          <w:b/>
          <w:bCs/>
        </w:rPr>
        <w:t xml:space="preserve">Open</w:t>
      </w:r>
      <w:r>
        <w:t xml:space="preserve"> </w:t>
      </w:r>
      <w:r>
        <w:t xml:space="preserve">— reflecting the open-source values of transparency, collaboration, and shared responsibility.</w:t>
      </w:r>
    </w:p>
    <w:bookmarkEnd w:id="31"/>
    <w:bookmarkStart w:id="32"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6"/>
        </w:numPr>
      </w:pPr>
      <w:r>
        <w:rPr>
          <w:b/>
          <w:bCs/>
        </w:rPr>
        <w:t xml:space="preserve">Realistic about problems</w:t>
      </w:r>
      <w:r>
        <w:t xml:space="preserve"> </w:t>
      </w:r>
      <w:r>
        <w:t xml:space="preserve">— acknowledge risks squarely without catastrophizing.</w:t>
      </w:r>
    </w:p>
    <w:p>
      <w:pPr>
        <w:numPr>
          <w:ilvl w:val="0"/>
          <w:numId w:val="1006"/>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6"/>
        </w:numPr>
      </w:pPr>
      <w:r>
        <w:rPr>
          <w:b/>
          <w:bCs/>
        </w:rPr>
        <w:t xml:space="preserve">Down-to-earth</w:t>
      </w:r>
      <w:r>
        <w:t xml:space="preserve"> </w:t>
      </w:r>
      <w:r>
        <w:t xml:space="preserve">— avoid jargon-heavy abstractions. Prefer plain language.</w:t>
      </w:r>
    </w:p>
    <w:p>
      <w:pPr>
        <w:numPr>
          <w:ilvl w:val="0"/>
          <w:numId w:val="1006"/>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2"/>
    <w:bookmarkEnd w:id="33"/>
    <w:bookmarkStart w:id="37" w:name="inclusive-communication"/>
    <w:p>
      <w:pPr>
        <w:pStyle w:val="Heading2"/>
      </w:pPr>
      <w:r>
        <w:t xml:space="preserve">5. Inclusive Communication</w:t>
      </w:r>
    </w:p>
    <w:bookmarkStart w:id="34"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4"/>
    <w:bookmarkStart w:id="35"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w:t>
      </w:r>
      <w:r>
        <w:t xml:space="preserve"> </w:t>
      </w:r>
      <w:hyperlink w:anchor="Xd151fe14b70597f11563ccf595dc1ece806810b">
        <w:r>
          <w:rPr>
            <w:rStyle w:val="Hyperlink"/>
          </w:rPr>
          <w:t xml:space="preserve">glossary</w:t>
        </w:r>
      </w:hyperlink>
      <w:r>
        <w:t xml:space="preserve"> </w:t>
      </w:r>
      <w:r>
        <w:t xml:space="preserve">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5"/>
    <w:bookmarkStart w:id="36"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7"/>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7"/>
        </w:numPr>
      </w:pPr>
      <w:r>
        <w:rPr>
          <w:b/>
          <w:bCs/>
        </w:rPr>
        <w:t xml:space="preserve">Plugin</w:t>
      </w:r>
      <w:r>
        <w:t xml:space="preserve"> </w:t>
      </w:r>
      <w:r>
        <w:t xml:space="preserve">— an extension that adds functionality to WordPress. Always one word, lowercase in running text.</w:t>
      </w:r>
    </w:p>
    <w:p>
      <w:pPr>
        <w:numPr>
          <w:ilvl w:val="0"/>
          <w:numId w:val="1007"/>
        </w:numPr>
      </w:pPr>
      <w:r>
        <w:rPr>
          <w:b/>
          <w:bCs/>
        </w:rPr>
        <w:t xml:space="preserve">Theme</w:t>
      </w:r>
      <w:r>
        <w:t xml:space="preserve"> </w:t>
      </w:r>
      <w:r>
        <w:t xml:space="preserve">— a collection of templates and stylesheets that control a site’s visual presentation.</w:t>
      </w:r>
    </w:p>
    <w:p>
      <w:pPr>
        <w:numPr>
          <w:ilvl w:val="0"/>
          <w:numId w:val="1007"/>
        </w:numPr>
      </w:pPr>
      <w:r>
        <w:rPr>
          <w:b/>
          <w:bCs/>
        </w:rPr>
        <w:t xml:space="preserve">wp-admin</w:t>
      </w:r>
      <w:r>
        <w:t xml:space="preserve"> </w:t>
      </w:r>
      <w:r>
        <w:t xml:space="preserve">— the URL path to the WordPress admin area. Set in monospace (</w:t>
      </w:r>
      <w:r>
        <w:rPr>
          <w:rStyle w:val="VerbatimChar"/>
        </w:rPr>
        <w:t xml:space="preserve">wp-admin</w:t>
      </w:r>
      <w:r>
        <w:t xml:space="preserve">) when referring to the path.</w:t>
      </w:r>
    </w:p>
    <w:p>
      <w:pPr>
        <w:numPr>
          <w:ilvl w:val="0"/>
          <w:numId w:val="1007"/>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7"/>
        </w:numPr>
      </w:pPr>
      <w:r>
        <w:rPr>
          <w:b/>
          <w:bCs/>
        </w:rPr>
        <w:t xml:space="preserve">Multisite</w:t>
      </w:r>
      <w:r>
        <w:t xml:space="preserve"> </w:t>
      </w:r>
      <w:r>
        <w:t xml:space="preserve">— a WordPress feature enabling multiple sites on one installation. One word, capitalized.</w:t>
      </w:r>
    </w:p>
    <w:p>
      <w:pPr>
        <w:numPr>
          <w:ilvl w:val="0"/>
          <w:numId w:val="1007"/>
        </w:numPr>
      </w:pPr>
      <w:r>
        <w:rPr>
          <w:b/>
          <w:bCs/>
        </w:rPr>
        <w:t xml:space="preserve">Auto-update</w:t>
      </w:r>
      <w:r>
        <w:t xml:space="preserve"> </w:t>
      </w:r>
      <w:r>
        <w:t xml:space="preserve">— WordPress’s built-in mechanism for applying updates automatically. Hyphenated.</w:t>
      </w:r>
    </w:p>
    <w:bookmarkEnd w:id="36"/>
    <w:bookmarkEnd w:id="37"/>
    <w:bookmarkStart w:id="43" w:name="technical-formatting-guidelines"/>
    <w:p>
      <w:pPr>
        <w:pStyle w:val="Heading2"/>
      </w:pPr>
      <w:r>
        <w:t xml:space="preserve">6. Technical Formatting Guidelines</w:t>
      </w:r>
    </w:p>
    <w:bookmarkStart w:id="38"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8"/>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8"/>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8"/>
    <w:bookmarkStart w:id="39" w:name="when-to-use-monospace"/>
    <w:p>
      <w:pPr>
        <w:pStyle w:val="Heading3"/>
      </w:pPr>
      <w:r>
        <w:t xml:space="preserve">6.2 When to Use Monospace</w:t>
      </w:r>
    </w:p>
    <w:p>
      <w:pPr>
        <w:numPr>
          <w:ilvl w:val="0"/>
          <w:numId w:val="1009"/>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09"/>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09"/>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09"/>
        </w:numPr>
      </w:pPr>
      <w:r>
        <w:t xml:space="preserve">Database fields, table names, and environment variables</w:t>
      </w:r>
    </w:p>
    <w:p>
      <w:pPr>
        <w:numPr>
          <w:ilvl w:val="0"/>
          <w:numId w:val="1009"/>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09"/>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6.5.2</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6.5 introduced…”</w:t>
      </w:r>
      <w:r>
        <w:t xml:space="preserve">).</w:t>
      </w:r>
    </w:p>
    <w:bookmarkEnd w:id="39"/>
    <w:bookmarkStart w:id="40" w:name="when-to-use-normal-font"/>
    <w:p>
      <w:pPr>
        <w:pStyle w:val="Heading3"/>
      </w:pPr>
      <w:r>
        <w:t xml:space="preserve">6.3 When to Use Normal Font</w:t>
      </w:r>
    </w:p>
    <w:p>
      <w:pPr>
        <w:numPr>
          <w:ilvl w:val="0"/>
          <w:numId w:val="1010"/>
        </w:numPr>
      </w:pPr>
      <w:r>
        <w:t xml:space="preserve">Product names and their versions in running prose: WordPress 6.5, Cloudflare, Patchstack.</w:t>
      </w:r>
    </w:p>
    <w:p>
      <w:pPr>
        <w:numPr>
          <w:ilvl w:val="0"/>
          <w:numId w:val="1010"/>
        </w:numPr>
      </w:pPr>
      <w:r>
        <w:t xml:space="preserve">Names of organizations, teams, and conferences: OWASP, DEF CON, WordPress Security Team.</w:t>
      </w:r>
    </w:p>
    <w:p>
      <w:pPr>
        <w:numPr>
          <w:ilvl w:val="0"/>
          <w:numId w:val="1010"/>
        </w:numPr>
      </w:pPr>
      <w:r>
        <w:t xml:space="preserve">Concepts and roles: administrator, two-factor authentication, session cookie.</w:t>
      </w:r>
    </w:p>
    <w:p>
      <w:pPr>
        <w:numPr>
          <w:ilvl w:val="0"/>
          <w:numId w:val="1010"/>
        </w:numPr>
      </w:pPr>
      <w:r>
        <w:t xml:space="preserve">Error messages and security prompts when quoting them for a non-technical audience (use quotation marks).</w:t>
      </w:r>
    </w:p>
    <w:bookmarkEnd w:id="40"/>
    <w:bookmarkStart w:id="41"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1"/>
    <w:bookmarkStart w:id="42"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2"/>
    <w:bookmarkEnd w:id="43"/>
    <w:bookmarkStart w:id="53" w:name="writing-about-vulnerabilities"/>
    <w:p>
      <w:pPr>
        <w:pStyle w:val="Heading2"/>
      </w:pPr>
      <w:r>
        <w:t xml:space="preserve">7. Writing about Vulnerabilities</w:t>
      </w:r>
    </w:p>
    <w:bookmarkStart w:id="44"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1"/>
        </w:numPr>
      </w:pPr>
      <w:r>
        <w:t xml:space="preserve">Use the official CVE identifier when available.</w:t>
      </w:r>
    </w:p>
    <w:p>
      <w:pPr>
        <w:numPr>
          <w:ilvl w:val="0"/>
          <w:numId w:val="1011"/>
        </w:numPr>
      </w:pPr>
      <w:r>
        <w:t xml:space="preserve">Name the affected software and specific versions.</w:t>
      </w:r>
    </w:p>
    <w:p>
      <w:pPr>
        <w:numPr>
          <w:ilvl w:val="0"/>
          <w:numId w:val="1011"/>
        </w:numPr>
      </w:pPr>
      <w:r>
        <w:t xml:space="preserve">Describe the vulnerability type using standard terminology (XSS, SQL injection, CSRF, etc.).</w:t>
      </w:r>
    </w:p>
    <w:p>
      <w:pPr>
        <w:numPr>
          <w:ilvl w:val="0"/>
          <w:numId w:val="1011"/>
        </w:numPr>
      </w:pPr>
      <w:r>
        <w:t xml:space="preserve">State the severity using an established framework (CVSS score, Patchstack’s severity rating, or the plugin repository’s classification).</w:t>
      </w:r>
    </w:p>
    <w:p>
      <w:pPr>
        <w:numPr>
          <w:ilvl w:val="0"/>
          <w:numId w:val="1011"/>
        </w:numPr>
      </w:pPr>
      <w:r>
        <w:t xml:space="preserve">Provide the remediation: update to version X, apply a configuration change, or remove the affected component.</w:t>
      </w:r>
    </w:p>
    <w:p>
      <w:pPr>
        <w:numPr>
          <w:ilvl w:val="0"/>
          <w:numId w:val="1011"/>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4"/>
    <w:bookmarkStart w:id="46"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5">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2"/>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2"/>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2"/>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2"/>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6"/>
    <w:bookmarkStart w:id="48"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3"/>
        </w:numPr>
      </w:pPr>
      <w:r>
        <w:rPr>
          <w:b/>
          <w:bCs/>
        </w:rPr>
        <w:t xml:space="preserve">Active install count</w:t>
      </w:r>
      <w:r>
        <w:t xml:space="preserve"> </w:t>
      </w:r>
      <w:r>
        <w:t xml:space="preserve">of the affected plugin or theme.</w:t>
      </w:r>
    </w:p>
    <w:p>
      <w:pPr>
        <w:pStyle w:val="Compact"/>
        <w:numPr>
          <w:ilvl w:val="0"/>
          <w:numId w:val="1013"/>
        </w:numPr>
      </w:pPr>
      <w:r>
        <w:rPr>
          <w:b/>
          <w:bCs/>
        </w:rPr>
        <w:t xml:space="preserve">Authentication requirement</w:t>
      </w:r>
      <w:r>
        <w:t xml:space="preserve"> </w:t>
      </w:r>
      <w:r>
        <w:t xml:space="preserve">— does exploitation require a logged-in user, and at what role level?</w:t>
      </w:r>
    </w:p>
    <w:p>
      <w:pPr>
        <w:pStyle w:val="Compact"/>
        <w:numPr>
          <w:ilvl w:val="0"/>
          <w:numId w:val="1013"/>
        </w:numPr>
      </w:pPr>
      <w:r>
        <w:rPr>
          <w:b/>
          <w:bCs/>
        </w:rPr>
        <w:t xml:space="preserve">Default vs. non-default configuration</w:t>
      </w:r>
      <w:r>
        <w:t xml:space="preserve"> </w:t>
      </w:r>
      <w:r>
        <w:t xml:space="preserve">— is the vulnerable feature enabled by default?</w:t>
      </w:r>
    </w:p>
    <w:p>
      <w:pPr>
        <w:pStyle w:val="Compact"/>
        <w:numPr>
          <w:ilvl w:val="0"/>
          <w:numId w:val="1013"/>
        </w:numPr>
      </w:pPr>
      <w:r>
        <w:rPr>
          <w:b/>
          <w:bCs/>
        </w:rPr>
        <w:t xml:space="preserve">Affected version range</w:t>
      </w:r>
      <w:r>
        <w:t xml:space="preserve"> </w:t>
      </w:r>
      <w:r>
        <w:t xml:space="preserve">— which versions are vulnerable, and how far back does it go?</w:t>
      </w:r>
    </w:p>
    <w:p>
      <w:pPr>
        <w:pStyle w:val="Compact"/>
        <w:numPr>
          <w:ilvl w:val="0"/>
          <w:numId w:val="1013"/>
        </w:numPr>
      </w:pPr>
      <w:r>
        <w:rPr>
          <w:b/>
          <w:bCs/>
        </w:rPr>
        <w:t xml:space="preserve">Auto-update availability</w:t>
      </w:r>
      <w:r>
        <w:t xml:space="preserve"> </w:t>
      </w:r>
      <w:r>
        <w:t xml:space="preserve">— can users receive the patch automatically?</w:t>
      </w:r>
    </w:p>
    <w:p>
      <w:pPr>
        <w:pStyle w:val="Compact"/>
        <w:numPr>
          <w:ilvl w:val="0"/>
          <w:numId w:val="1013"/>
        </w:numPr>
      </w:pPr>
      <w:r>
        <w:rPr>
          <w:b/>
          <w:bCs/>
        </w:rPr>
        <w:t xml:space="preserve">EPSS score</w:t>
      </w:r>
      <w:r>
        <w:t xml:space="preserve"> </w:t>
      </w:r>
      <w:r>
        <w:t xml:space="preserve">— the</w:t>
      </w:r>
      <w:r>
        <w:t xml:space="preserve"> </w:t>
      </w:r>
      <w:hyperlink r:id="rId47">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8"/>
    <w:bookmarkStart w:id="49"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4"/>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4"/>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4"/>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9"/>
    <w:bookmarkStart w:id="50"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5"/>
        </w:numPr>
      </w:pPr>
      <w:r>
        <w:t xml:space="preserve">For widely used plugins (100,000+ active installations), the public interest in disclosure is high and the name will appear in vulnerability databases regardless.</w:t>
      </w:r>
    </w:p>
    <w:p>
      <w:pPr>
        <w:pStyle w:val="Compact"/>
        <w:numPr>
          <w:ilvl w:val="0"/>
          <w:numId w:val="1015"/>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5"/>
        </w:numPr>
      </w:pPr>
      <w:r>
        <w:t xml:space="preserve">Never editorialize about a plugin author’s competence or responsiveness. Stick to what happened, what was fixed, and what users should do.</w:t>
      </w:r>
    </w:p>
    <w:bookmarkEnd w:id="50"/>
    <w:bookmarkStart w:id="51"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w:t>
      </w:r>
      <w:r>
        <w:t xml:space="preserve"> </w:t>
      </w:r>
      <w:hyperlink w:anchor="X0192d6367d0d4abe5ab52dd7a27ff094be6eef2">
        <w:r>
          <w:rPr>
            <w:rStyle w:val="Hyperlink"/>
          </w:rPr>
          <w:t xml:space="preserve">§9 (Operational Appendix)</w:t>
        </w:r>
      </w:hyperlink>
      <w:r>
        <w:t xml:space="preserve">. This separation ensures the style guidance remains stable even as internal workflows evolve.</w:t>
      </w:r>
    </w:p>
    <w:bookmarkEnd w:id="51"/>
    <w:bookmarkStart w:id="52"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6"/>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6"/>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6"/>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6"/>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6"/>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2"/>
    <w:bookmarkEnd w:id="53"/>
    <w:bookmarkStart w:id="55"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w:t>
      </w:r>
      <w:r>
        <w:t xml:space="preserve"> </w:t>
      </w:r>
      <w:r>
        <w:t xml:space="preserve">core 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the REST API, XML-RPC, file upload handlers, plugin and theme code, and the hosting environment. Reducing the attack surface is a core hardening goal.</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wp-cli checksum</w:t>
      </w:r>
      <w:r>
        <w:t xml:space="preserve"> </w:t>
      </w:r>
      <w:r>
        <w:t xml:space="preserve">verifies core files against official hashes, and security plugins extend this to themes, plugins, and uploads.</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 infostealer.</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4">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w:t>
      </w:r>
      <w:r>
        <w:t xml:space="preserve"> </w:t>
      </w:r>
      <w:hyperlink w:anchor="X8f05d517a26b8a2ccb7dd4ddbb4f195f1a56386">
        <w:r>
          <w:rPr>
            <w:rStyle w:val="Hyperlink"/>
          </w:rPr>
          <w:t xml:space="preserve">§7.7</w:t>
        </w:r>
      </w:hyperlink>
      <w:r>
        <w:t xml:space="preserve"> </w:t>
      </w:r>
      <w:r>
        <w:t xml:space="preserve">for writing guidance.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administrative interface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rStyle w:val="VerbatimChar"/>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Should be restricted to file permission</w:t>
      </w:r>
      <w:r>
        <w:t xml:space="preserve"> </w:t>
      </w:r>
      <w:r>
        <w:rPr>
          <w:rStyle w:val="VerbatimChar"/>
        </w:rPr>
        <w:t xml:space="preserve">600</w:t>
      </w:r>
      <w:r>
        <w:t xml:space="preserve"> </w:t>
      </w:r>
      <w:r>
        <w:t xml:space="preserve">or</w:t>
      </w:r>
      <w:r>
        <w:t xml:space="preserve"> </w:t>
      </w:r>
      <w:r>
        <w:rPr>
          <w:rStyle w:val="VerbatimChar"/>
        </w:rPr>
        <w:t xml:space="preserve">640</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rStyle w:val="VerbatimChar"/>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typically disable this endpoint unless specifically required. Always written in monospace. See also:</w:t>
      </w:r>
      <w:r>
        <w:t xml:space="preserve"> </w:t>
      </w:r>
      <w:r>
        <w:rPr>
          <w:i/>
          <w:iCs/>
        </w:rPr>
        <w:t xml:space="preserve">XML-RPC</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Recommended to disable unless specifically required.</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5"/>
    <w:bookmarkStart w:id="57"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7"/>
        </w:numPr>
      </w:pPr>
      <w:r>
        <w:rPr>
          <w:b/>
          <w:bCs/>
        </w:rPr>
        <w:t xml:space="preserve">Vulnerability description and classification</w:t>
      </w:r>
      <w:r>
        <w:t xml:space="preserve"> </w:t>
      </w:r>
      <w:r>
        <w:t xml:space="preserve">(critical, high, medium, or low severity based on CVSS).</w:t>
      </w:r>
    </w:p>
    <w:p>
      <w:pPr>
        <w:pStyle w:val="Compact"/>
        <w:numPr>
          <w:ilvl w:val="0"/>
          <w:numId w:val="1017"/>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7"/>
        </w:numPr>
      </w:pPr>
      <w:r>
        <w:rPr>
          <w:b/>
          <w:bCs/>
        </w:rPr>
        <w:t xml:space="preserve">Patch details:</w:t>
      </w:r>
      <w:r>
        <w:t xml:space="preserve"> </w:t>
      </w:r>
      <w:r>
        <w:t xml:space="preserve">Patch release version number.</w:t>
      </w:r>
    </w:p>
    <w:p>
      <w:pPr>
        <w:pStyle w:val="Compact"/>
        <w:numPr>
          <w:ilvl w:val="0"/>
          <w:numId w:val="1017"/>
        </w:numPr>
      </w:pPr>
      <w:r>
        <w:rPr>
          <w:b/>
          <w:bCs/>
        </w:rPr>
        <w:t xml:space="preserve">Timeline and scope:</w:t>
      </w:r>
      <w:r>
        <w:t xml:space="preserve"> </w:t>
      </w:r>
      <w:r>
        <w:t xml:space="preserve">When was the vulnerability introduced? Are all previous versions affected?</w:t>
      </w:r>
    </w:p>
    <w:p>
      <w:pPr>
        <w:pStyle w:val="Compact"/>
        <w:numPr>
          <w:ilvl w:val="0"/>
          <w:numId w:val="1017"/>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7"/>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7"/>
        </w:numPr>
      </w:pPr>
      <w:r>
        <w:rPr>
          <w:b/>
          <w:bCs/>
        </w:rPr>
        <w:t xml:space="preserve">Additional context:</w:t>
      </w:r>
      <w:r>
        <w:t xml:space="preserve"> </w:t>
      </w:r>
      <w:r>
        <w:t xml:space="preserve">Any technical nuances or environmental factors.</w:t>
      </w:r>
    </w:p>
    <w:bookmarkStart w:id="56" w:name="X731cb7f475e279d99df4e9ac9396315de09e358"/>
    <w:p>
      <w:pPr>
        <w:pStyle w:val="Heading3"/>
      </w:pPr>
      <w:r>
        <w:t xml:space="preserve">9.1 Vulnerability Communication Workflow (External)</w:t>
      </w:r>
    </w:p>
    <w:p>
      <w:pPr>
        <w:pStyle w:val="Compact"/>
        <w:numPr>
          <w:ilvl w:val="0"/>
          <w:numId w:val="1018"/>
        </w:numPr>
      </w:pPr>
      <w:r>
        <w:rPr>
          <w:b/>
          <w:bCs/>
        </w:rPr>
        <w:t xml:space="preserve">Preparation:</w:t>
      </w:r>
      <w:r>
        <w:t xml:space="preserve"> </w:t>
      </w:r>
      <w:r>
        <w:t xml:space="preserve">Development provides the information listed above.</w:t>
      </w:r>
    </w:p>
    <w:p>
      <w:pPr>
        <w:pStyle w:val="Compact"/>
        <w:numPr>
          <w:ilvl w:val="0"/>
          <w:numId w:val="1018"/>
        </w:numPr>
      </w:pPr>
      <w:r>
        <w:rPr>
          <w:b/>
          <w:bCs/>
        </w:rPr>
        <w:t xml:space="preserve">Drafting:</w:t>
      </w:r>
      <w:r>
        <w:t xml:space="preserve"> </w:t>
      </w:r>
      <w:r>
        <w:t xml:space="preserve">Customer Success drafts communications and submits them to leadership for approval.</w:t>
      </w:r>
    </w:p>
    <w:p>
      <w:pPr>
        <w:pStyle w:val="Compact"/>
        <w:numPr>
          <w:ilvl w:val="0"/>
          <w:numId w:val="1018"/>
        </w:numPr>
      </w:pPr>
      <w:r>
        <w:rPr>
          <w:b/>
          <w:bCs/>
        </w:rPr>
        <w:t xml:space="preserve">Coordination:</w:t>
      </w:r>
      <w:r>
        <w:t xml:space="preserve"> </w:t>
      </w:r>
      <w:r>
        <w:t xml:space="preserve">Development releases the patch and notifies Customer Success and Marketing.</w:t>
      </w:r>
    </w:p>
    <w:p>
      <w:pPr>
        <w:pStyle w:val="Compact"/>
        <w:numPr>
          <w:ilvl w:val="0"/>
          <w:numId w:val="1018"/>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8"/>
        </w:numPr>
      </w:pPr>
      <w:r>
        <w:rPr>
          <w:b/>
          <w:bCs/>
        </w:rPr>
        <w:t xml:space="preserve">Execution:</w:t>
      </w:r>
      <w:r>
        <w:t xml:space="preserve"> </w:t>
      </w:r>
      <w:r>
        <w:t xml:space="preserve">Marketing communicates via internal project management templates and established notification channels.</w:t>
      </w:r>
    </w:p>
    <w:bookmarkEnd w:id="56"/>
    <w:bookmarkEnd w:id="57"/>
    <w:bookmarkStart w:id="69"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19"/>
        </w:numPr>
      </w:pPr>
      <w:hyperlink r:id="rId58">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19"/>
        </w:numPr>
      </w:pPr>
      <w:hyperlink r:id="rId59">
        <w:r>
          <w:rPr>
            <w:rStyle w:val="Hyperlink"/>
          </w:rPr>
          <w:t xml:space="preserve">Google Developer Documentation Style Guide</w:t>
        </w:r>
      </w:hyperlink>
      <w:r>
        <w:t xml:space="preserve"> </w:t>
      </w:r>
      <w:r>
        <w:t xml:space="preserve">— general technical writing guidance.</w:t>
      </w:r>
    </w:p>
    <w:p>
      <w:pPr>
        <w:numPr>
          <w:ilvl w:val="0"/>
          <w:numId w:val="1019"/>
        </w:numPr>
      </w:pPr>
      <w:hyperlink r:id="rId60">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0"/>
        </w:numPr>
      </w:pPr>
      <w:hyperlink r:id="rId61">
        <w:r>
          <w:rPr>
            <w:rStyle w:val="Hyperlink"/>
          </w:rPr>
          <w:t xml:space="preserve">NIST Glossary of Key Information Security Terms</w:t>
        </w:r>
      </w:hyperlink>
    </w:p>
    <w:p>
      <w:pPr>
        <w:numPr>
          <w:ilvl w:val="0"/>
          <w:numId w:val="1020"/>
        </w:numPr>
      </w:pPr>
      <w:hyperlink r:id="rId62">
        <w:r>
          <w:rPr>
            <w:rStyle w:val="Hyperlink"/>
          </w:rPr>
          <w:t xml:space="preserve">OWASP Glossary</w:t>
        </w:r>
      </w:hyperlink>
    </w:p>
    <w:p>
      <w:pPr>
        <w:numPr>
          <w:ilvl w:val="0"/>
          <w:numId w:val="1020"/>
        </w:numPr>
      </w:pPr>
      <w:hyperlink r:id="rId63">
        <w:r>
          <w:rPr>
            <w:rStyle w:val="Hyperlink"/>
          </w:rPr>
          <w:t xml:space="preserve">SANS Security Glossary</w:t>
        </w:r>
      </w:hyperlink>
    </w:p>
    <w:p>
      <w:pPr>
        <w:pStyle w:val="FirstParagraph"/>
      </w:pPr>
      <w:r>
        <w:rPr>
          <w:b/>
          <w:bCs/>
        </w:rPr>
        <w:t xml:space="preserve">WordPress Security Resources</w:t>
      </w:r>
    </w:p>
    <w:p>
      <w:pPr>
        <w:numPr>
          <w:ilvl w:val="0"/>
          <w:numId w:val="1021"/>
        </w:numPr>
      </w:pPr>
      <w:r>
        <w:t xml:space="preserve">Internal WordPress Security White Paper — maintain this reference in your shared document repository (avoid local absolute file paths).</w:t>
      </w:r>
    </w:p>
    <w:p>
      <w:pPr>
        <w:numPr>
          <w:ilvl w:val="0"/>
          <w:numId w:val="1021"/>
        </w:numPr>
      </w:pPr>
      <w:hyperlink r:id="rId64">
        <w:r>
          <w:rPr>
            <w:rStyle w:val="Hyperlink"/>
          </w:rPr>
          <w:t xml:space="preserve">WordPress Security White Paper (developer.wordpress.org)</w:t>
        </w:r>
      </w:hyperlink>
    </w:p>
    <w:p>
      <w:pPr>
        <w:numPr>
          <w:ilvl w:val="0"/>
          <w:numId w:val="1021"/>
        </w:numPr>
      </w:pPr>
      <w:hyperlink r:id="rId65">
        <w:r>
          <w:rPr>
            <w:rStyle w:val="Hyperlink"/>
          </w:rPr>
          <w:t xml:space="preserve">Hardening WordPress — Advanced Administration Handbook</w:t>
        </w:r>
      </w:hyperlink>
    </w:p>
    <w:p>
      <w:pPr>
        <w:numPr>
          <w:ilvl w:val="0"/>
          <w:numId w:val="1021"/>
        </w:numPr>
      </w:pPr>
      <w:hyperlink r:id="rId66">
        <w:r>
          <w:rPr>
            <w:rStyle w:val="Hyperlink"/>
          </w:rPr>
          <w:t xml:space="preserve">Patchstack WordPress Vulnerability Database</w:t>
        </w:r>
      </w:hyperlink>
    </w:p>
    <w:p>
      <w:pPr>
        <w:numPr>
          <w:ilvl w:val="0"/>
          <w:numId w:val="1021"/>
        </w:numPr>
      </w:pPr>
      <w:hyperlink r:id="rId67">
        <w:r>
          <w:rPr>
            <w:rStyle w:val="Hyperlink"/>
          </w:rPr>
          <w:t xml:space="preserve">Wordfence Intelligence Vulnerability Database</w:t>
        </w:r>
      </w:hyperlink>
      <w:r>
        <w:t xml:space="preserve"> </w:t>
      </w:r>
      <w:r>
        <w:t xml:space="preserve">— real-time vulnerability data with proof-of-concept details.</w:t>
      </w:r>
    </w:p>
    <w:p>
      <w:pPr>
        <w:numPr>
          <w:ilvl w:val="0"/>
          <w:numId w:val="1021"/>
        </w:numPr>
      </w:pPr>
      <w:hyperlink r:id="rId68">
        <w:r>
          <w:rPr>
            <w:rStyle w:val="Hyperlink"/>
          </w:rPr>
          <w:t xml:space="preserve">WPScan Vulnerability Database</w:t>
        </w:r>
      </w:hyperlink>
      <w:r>
        <w:t xml:space="preserve"> </w:t>
      </w:r>
      <w:r>
        <w:t xml:space="preserve">— now maintained by Automattic as part of the Jetpack ecosystem.</w:t>
      </w:r>
    </w:p>
    <w:bookmarkEnd w:id="69"/>
    <w:bookmarkStart w:id="72" w:name="related-documents"/>
    <w:p>
      <w:pPr>
        <w:pStyle w:val="Heading2"/>
      </w:pPr>
      <w:r>
        <w:t xml:space="preserve">Related Documents</w:t>
      </w:r>
    </w:p>
    <w:p>
      <w:pPr>
        <w:pStyle w:val="Compact"/>
        <w:numPr>
          <w:ilvl w:val="0"/>
          <w:numId w:val="1022"/>
        </w:numPr>
      </w:pPr>
      <w:hyperlink r:id="rId70">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2"/>
        </w:numPr>
      </w:pPr>
      <w:hyperlink r:id="rId71">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2"/>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4">
        <w:r>
          <w:rPr>
            <w:rStyle w:val="Hyperlink"/>
          </w:rPr>
          <w:t xml:space="preserve">developer.wordpress.org</w:t>
        </w:r>
      </w:hyperlink>
      <w:r>
        <w:t xml:space="preserve">.</w:t>
      </w:r>
    </w:p>
    <w:bookmarkEnd w:id="72"/>
    <w:bookmarkStart w:id="74" w:name="license-and-attribution"/>
    <w:p>
      <w:pPr>
        <w:pStyle w:val="Heading2"/>
      </w:pPr>
      <w:r>
        <w:t xml:space="preserve">License and Attribution</w:t>
      </w:r>
    </w:p>
    <w:p>
      <w:pPr>
        <w:pStyle w:val="FirstParagraph"/>
      </w:pPr>
      <w:r>
        <w:t xml:space="preserve">This document is licensed under the</w:t>
      </w:r>
      <w:r>
        <w:t xml:space="preserve"> </w:t>
      </w:r>
      <w:hyperlink r:id="rId73">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8" Target="https://bishopfox.com/resources/cybersecurity-style-guide" TargetMode="External" /><Relationship Type="http://schemas.openxmlformats.org/officeDocument/2006/relationships/hyperlink" Id="rId73" Target="https://creativecommons.org/licenses/by-sa/4.0/" TargetMode="External" /><Relationship Type="http://schemas.openxmlformats.org/officeDocument/2006/relationships/hyperlink" Id="rId61" Target="https://csrc.nist.gov/glossary" TargetMode="External" /><Relationship Type="http://schemas.openxmlformats.org/officeDocument/2006/relationships/hyperlink" Id="rId20" Target="https://dan.knauss.ca/" TargetMode="External" /><Relationship Type="http://schemas.openxmlformats.org/officeDocument/2006/relationships/hyperlink" Id="rId65" Target="https://developer.wordpress.org/advanced-administration/security/hardening/" TargetMode="External" /><Relationship Type="http://schemas.openxmlformats.org/officeDocument/2006/relationships/hyperlink" Id="rId64" Target="https://developer.wordpress.org/apis/security/" TargetMode="External" /><Relationship Type="http://schemas.openxmlformats.org/officeDocument/2006/relationships/hyperlink" Id="rId59" Target="https://developers.google.com/style/" TargetMode="External" /><Relationship Type="http://schemas.openxmlformats.org/officeDocument/2006/relationships/hyperlink" Id="rId71" Target="https://github.com/dknauss/wp-security-benchmark" TargetMode="External" /><Relationship Type="http://schemas.openxmlformats.org/officeDocument/2006/relationships/hyperlink" Id="rId70" Target="https://github.com/dknauss/wp-security-hardening-guide" TargetMode="External" /><Relationship Type="http://schemas.openxmlformats.org/officeDocument/2006/relationships/hyperlink" Id="rId60" Target="https://learn.microsoft.com/en-us/style-guide/" TargetMode="External" /><Relationship Type="http://schemas.openxmlformats.org/officeDocument/2006/relationships/hyperlink" Id="rId54" Target="https://owasp.org/Top10/2025/" TargetMode="External" /><Relationship Type="http://schemas.openxmlformats.org/officeDocument/2006/relationships/hyperlink" Id="rId62" Target="https://owasp.org/www-community/Glossary" TargetMode="External" /><Relationship Type="http://schemas.openxmlformats.org/officeDocument/2006/relationships/hyperlink" Id="rId66" Target="https://patchstack.com/database/" TargetMode="External" /><Relationship Type="http://schemas.openxmlformats.org/officeDocument/2006/relationships/hyperlink" Id="rId68"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3" Target="https://www.sans.org/security-resources/glossary-of-terms/" TargetMode="External" /><Relationship Type="http://schemas.openxmlformats.org/officeDocument/2006/relationships/hyperlink" Id="rId67"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8" Target="https://bishopfox.com/resources/cybersecurity-style-guide" TargetMode="External" /><Relationship Type="http://schemas.openxmlformats.org/officeDocument/2006/relationships/hyperlink" Id="rId73" Target="https://creativecommons.org/licenses/by-sa/4.0/" TargetMode="External" /><Relationship Type="http://schemas.openxmlformats.org/officeDocument/2006/relationships/hyperlink" Id="rId61" Target="https://csrc.nist.gov/glossary" TargetMode="External" /><Relationship Type="http://schemas.openxmlformats.org/officeDocument/2006/relationships/hyperlink" Id="rId20" Target="https://dan.knauss.ca/" TargetMode="External" /><Relationship Type="http://schemas.openxmlformats.org/officeDocument/2006/relationships/hyperlink" Id="rId65" Target="https://developer.wordpress.org/advanced-administration/security/hardening/" TargetMode="External" /><Relationship Type="http://schemas.openxmlformats.org/officeDocument/2006/relationships/hyperlink" Id="rId64" Target="https://developer.wordpress.org/apis/security/" TargetMode="External" /><Relationship Type="http://schemas.openxmlformats.org/officeDocument/2006/relationships/hyperlink" Id="rId59" Target="https://developers.google.com/style/" TargetMode="External" /><Relationship Type="http://schemas.openxmlformats.org/officeDocument/2006/relationships/hyperlink" Id="rId71" Target="https://github.com/dknauss/wp-security-benchmark" TargetMode="External" /><Relationship Type="http://schemas.openxmlformats.org/officeDocument/2006/relationships/hyperlink" Id="rId70" Target="https://github.com/dknauss/wp-security-hardening-guide" TargetMode="External" /><Relationship Type="http://schemas.openxmlformats.org/officeDocument/2006/relationships/hyperlink" Id="rId60" Target="https://learn.microsoft.com/en-us/style-guide/" TargetMode="External" /><Relationship Type="http://schemas.openxmlformats.org/officeDocument/2006/relationships/hyperlink" Id="rId54" Target="https://owasp.org/Top10/2025/" TargetMode="External" /><Relationship Type="http://schemas.openxmlformats.org/officeDocument/2006/relationships/hyperlink" Id="rId62" Target="https://owasp.org/www-community/Glossary" TargetMode="External" /><Relationship Type="http://schemas.openxmlformats.org/officeDocument/2006/relationships/hyperlink" Id="rId66" Target="https://patchstack.com/database/" TargetMode="External" /><Relationship Type="http://schemas.openxmlformats.org/officeDocument/2006/relationships/hyperlink" Id="rId68"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3" Target="https://www.sans.org/security-resources/glossary-of-terms/" TargetMode="External" /><Relationship Type="http://schemas.openxmlformats.org/officeDocument/2006/relationships/hyperlink" Id="rId67"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About WordPress and Security: A Style Guide</dc:title>
  <dc:creator/>
  <cp:keywords/>
  <dcterms:created xsi:type="dcterms:W3CDTF">2026-03-02T19:41:02Z</dcterms:created>
  <dcterms:modified xsi:type="dcterms:W3CDTF">2026-03-02T19:41:02Z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2026</vt:lpwstr>
  </property>
</Properties>
</file>