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June 17,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40"/>
    <w:bookmarkStart w:id="4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41"/>
    <w:bookmarkStart w:id="49" w:name="X5418bea311ee78f0b13c4ebe983ce94ac3fa145"/>
    <w:p>
      <w:pPr>
        <w:pStyle w:val="Heading2"/>
      </w:pPr>
      <w:r>
        <w:t xml:space="preserve">3. Writing about Security and Vulnerabilities in WordPress</w:t>
      </w:r>
    </w:p>
    <w:bookmarkStart w:id="4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42"/>
    <w:bookmarkStart w:id="4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43"/>
    <w:bookmarkStart w:id="4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44"/>
    <w:bookmarkStart w:id="4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45"/>
    <w:bookmarkStart w:id="4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46"/>
    <w:bookmarkStart w:id="4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47"/>
    <w:bookmarkStart w:id="4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48"/>
    <w:bookmarkEnd w:id="49"/>
    <w:bookmarkStart w:id="55" w:name="audience-voice-and-tone"/>
    <w:p>
      <w:pPr>
        <w:pStyle w:val="Heading2"/>
      </w:pPr>
      <w:r>
        <w:t xml:space="preserve">4. Audience, Voice, and Tone</w:t>
      </w:r>
    </w:p>
    <w:bookmarkStart w:id="5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p>
      <w:pPr>
        <w:pStyle w:val="FirstParagraph"/>
      </w:pPr>
      <w:r>
        <w:t xml:space="preserve">Because the WordPress community is global, assume mixed levels of experience, cultural context, and English fluency. Many readers will be English as a second language (ESL) speakers, newcomers to WordPress, or people encountering WordPress security concepts for the first time. Write accordingly.</w:t>
      </w:r>
    </w:p>
    <w:p>
      <w:pPr>
        <w:pStyle w:val="BodyText"/>
      </w:pPr>
      <w:r>
        <w:t xml:space="preserve">Anything you publish may be someone’s first introduction not only to WordPress security, but to WordPress as a project and community. Write to build trust, invite participation, and leave the reader better equipped than you found them.</w:t>
      </w:r>
    </w:p>
    <w:bookmarkEnd w:id="50"/>
    <w:bookmarkStart w:id="52" w:name="voice"/>
    <w:p>
      <w:pPr>
        <w:pStyle w:val="Heading3"/>
      </w:pPr>
      <w:r>
        <w:t xml:space="preserve">4.2 Voice</w:t>
      </w:r>
    </w:p>
    <w:p>
      <w:pPr>
        <w:pStyle w:val="FirstParagraph"/>
      </w:pPr>
      <w:r>
        <w:t xml:space="preserve">Use the Learn WordPress course</w:t>
      </w:r>
      <w:r>
        <w:t xml:space="preserve"> </w:t>
      </w:r>
      <w:hyperlink r:id="rId51">
        <w:r>
          <w:rPr>
            <w:rStyle w:val="Hyperlink"/>
          </w:rPr>
          <w:t xml:space="preserve">Writing in the WordPress voice</w:t>
        </w:r>
      </w:hyperlink>
      <w:r>
        <w:t xml:space="preserve"> </w:t>
      </w:r>
      <w:r>
        <w:t xml:space="preserve">as the WordPress-specific editorial baseline for voice and accessibility. It recommends writing that is clear and friendly, on the positive side of neutral, and relatively jargon-free for a global audience.</w:t>
      </w:r>
    </w:p>
    <w:p>
      <w:pPr>
        <w:pStyle w:val="BodyText"/>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52"/>
    <w:bookmarkStart w:id="53"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Positive-Neutral</w:t>
      </w:r>
      <w:r>
        <w:t xml:space="preserve"> </w:t>
      </w:r>
      <w:r>
        <w:t xml:space="preserve">— default to a clear, friendly, even-handed tone. Reassure only when the facts justify it. Do not drift into hype, marketing warmth, or false certainty.</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53"/>
    <w:bookmarkStart w:id="54" w:name="wordpress-voice-baseline"/>
    <w:p>
      <w:pPr>
        <w:pStyle w:val="Heading3"/>
      </w:pPr>
      <w:r>
        <w:t xml:space="preserve">4.4 WordPress Voice Baseline</w:t>
      </w:r>
    </w:p>
    <w:p>
      <w:pPr>
        <w:pStyle w:val="FirstParagraph"/>
      </w:pPr>
      <w:r>
        <w:t xml:space="preserve">Before publishing, check whether the draft reflects the WordPress voice baseline:</w:t>
      </w:r>
    </w:p>
    <w:p>
      <w:pPr>
        <w:pStyle w:val="Compact"/>
        <w:numPr>
          <w:ilvl w:val="0"/>
          <w:numId w:val="1008"/>
        </w:numPr>
      </w:pPr>
      <w:r>
        <w:rPr>
          <w:b/>
          <w:bCs/>
        </w:rPr>
        <w:t xml:space="preserve">Clear and friendly</w:t>
      </w:r>
      <w:r>
        <w:t xml:space="preserve"> </w:t>
      </w:r>
      <w:r>
        <w:t xml:space="preserve">— direct, welcoming, and easy to follow.</w:t>
      </w:r>
    </w:p>
    <w:p>
      <w:pPr>
        <w:pStyle w:val="Compact"/>
        <w:numPr>
          <w:ilvl w:val="0"/>
          <w:numId w:val="1008"/>
        </w:numPr>
      </w:pPr>
      <w:r>
        <w:rPr>
          <w:b/>
          <w:bCs/>
        </w:rPr>
        <w:t xml:space="preserve">Positive side of neutral</w:t>
      </w:r>
      <w:r>
        <w:t xml:space="preserve"> </w:t>
      </w:r>
      <w:r>
        <w:t xml:space="preserve">— steady and constructive without being chirpy, salesy, or evasive.</w:t>
      </w:r>
    </w:p>
    <w:p>
      <w:pPr>
        <w:pStyle w:val="Compact"/>
        <w:numPr>
          <w:ilvl w:val="0"/>
          <w:numId w:val="1008"/>
        </w:numPr>
      </w:pPr>
      <w:r>
        <w:rPr>
          <w:b/>
          <w:bCs/>
        </w:rPr>
        <w:t xml:space="preserve">Jargon-light by default</w:t>
      </w:r>
      <w:r>
        <w:t xml:space="preserve"> </w:t>
      </w:r>
      <w:r>
        <w:t xml:space="preserve">— define unavoidable technical terms on first use.</w:t>
      </w:r>
    </w:p>
    <w:p>
      <w:pPr>
        <w:pStyle w:val="Compact"/>
        <w:numPr>
          <w:ilvl w:val="0"/>
          <w:numId w:val="1008"/>
        </w:numPr>
      </w:pPr>
      <w:r>
        <w:rPr>
          <w:b/>
          <w:bCs/>
        </w:rPr>
        <w:t xml:space="preserve">Global-reader aware</w:t>
      </w:r>
      <w:r>
        <w:t xml:space="preserve"> </w:t>
      </w:r>
      <w:r>
        <w:t xml:space="preserve">— avoid idioms, sarcasm, and culture-specific shorthand that may not travel well.</w:t>
      </w:r>
    </w:p>
    <w:p>
      <w:pPr>
        <w:pStyle w:val="Compact"/>
        <w:numPr>
          <w:ilvl w:val="0"/>
          <w:numId w:val="1008"/>
        </w:numPr>
      </w:pPr>
      <w:r>
        <w:rPr>
          <w:b/>
          <w:bCs/>
        </w:rPr>
        <w:t xml:space="preserve">Newcomer-accessible</w:t>
      </w:r>
      <w:r>
        <w:t xml:space="preserve"> </w:t>
      </w:r>
      <w:r>
        <w:t xml:space="preserve">— assume some readers are still learning WordPress, security, or both.</w:t>
      </w:r>
    </w:p>
    <w:p>
      <w:pPr>
        <w:pStyle w:val="Compact"/>
        <w:numPr>
          <w:ilvl w:val="0"/>
          <w:numId w:val="1008"/>
        </w:numPr>
      </w:pPr>
      <w:r>
        <w:rPr>
          <w:b/>
          <w:bCs/>
        </w:rPr>
        <w:t xml:space="preserve">Trust-building</w:t>
      </w:r>
      <w:r>
        <w:t xml:space="preserve"> </w:t>
      </w:r>
      <w:r>
        <w:t xml:space="preserve">— write as if this may be the reader’s first experience with WordPress and its community norms.</w:t>
      </w:r>
    </w:p>
    <w:bookmarkEnd w:id="54"/>
    <w:bookmarkEnd w:id="55"/>
    <w:bookmarkStart w:id="60" w:name="inclusive-communication"/>
    <w:p>
      <w:pPr>
        <w:pStyle w:val="Heading2"/>
      </w:pPr>
      <w:r>
        <w:t xml:space="preserve">5. Inclusive Communication</w:t>
      </w:r>
    </w:p>
    <w:bookmarkStart w:id="56"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p>
      <w:pPr>
        <w:pStyle w:val="BodyText"/>
      </w:pPr>
      <w:r>
        <w:t xml:space="preserve">Prefer shorter sentences over dense clause-stacking. Avoid sarcasm, insider banter, and idioms that may confuse international readers or make the writing feel exclusionary. Action-oriented language is usually better than blame-oriented language.</w:t>
      </w:r>
    </w:p>
    <w:bookmarkEnd w:id="56"/>
    <w:bookmarkStart w:id="57"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57"/>
    <w:bookmarkStart w:id="58"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9"/>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9"/>
        </w:numPr>
      </w:pPr>
      <w:r>
        <w:rPr>
          <w:b/>
          <w:bCs/>
        </w:rPr>
        <w:t xml:space="preserve">Plugin</w:t>
      </w:r>
      <w:r>
        <w:t xml:space="preserve"> </w:t>
      </w:r>
      <w:r>
        <w:t xml:space="preserve">— an extension that adds functionality to WordPress. Always one word, lowercase in running text.</w:t>
      </w:r>
    </w:p>
    <w:p>
      <w:pPr>
        <w:numPr>
          <w:ilvl w:val="0"/>
          <w:numId w:val="1009"/>
        </w:numPr>
      </w:pPr>
      <w:r>
        <w:rPr>
          <w:b/>
          <w:bCs/>
        </w:rPr>
        <w:t xml:space="preserve">Theme</w:t>
      </w:r>
      <w:r>
        <w:t xml:space="preserve"> </w:t>
      </w:r>
      <w:r>
        <w:t xml:space="preserve">— a collection of templates and stylesheets that control a site’s visual presentation.</w:t>
      </w:r>
    </w:p>
    <w:p>
      <w:pPr>
        <w:numPr>
          <w:ilvl w:val="0"/>
          <w:numId w:val="1009"/>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9"/>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9"/>
        </w:numPr>
      </w:pPr>
      <w:r>
        <w:rPr>
          <w:b/>
          <w:bCs/>
        </w:rPr>
        <w:t xml:space="preserve">Multisite</w:t>
      </w:r>
      <w:r>
        <w:t xml:space="preserve"> </w:t>
      </w:r>
      <w:r>
        <w:t xml:space="preserve">— a WordPress feature enabling multiple sites on one installation. One word, capitalized.</w:t>
      </w:r>
    </w:p>
    <w:p>
      <w:pPr>
        <w:numPr>
          <w:ilvl w:val="0"/>
          <w:numId w:val="1009"/>
        </w:numPr>
      </w:pPr>
      <w:r>
        <w:rPr>
          <w:b/>
          <w:bCs/>
        </w:rPr>
        <w:t xml:space="preserve">Auto-update</w:t>
      </w:r>
      <w:r>
        <w:t xml:space="preserve"> </w:t>
      </w:r>
      <w:r>
        <w:t xml:space="preserve">— WordPress’s built-in mechanism for applying updates automatically. Hyphenated.</w:t>
      </w:r>
    </w:p>
    <w:bookmarkEnd w:id="58"/>
    <w:bookmarkStart w:id="59" w:name="before-you-publish"/>
    <w:p>
      <w:pPr>
        <w:pStyle w:val="Heading3"/>
      </w:pPr>
      <w:r>
        <w:t xml:space="preserve">5.4 Before You Publish</w:t>
      </w:r>
    </w:p>
    <w:p>
      <w:pPr>
        <w:pStyle w:val="FirstParagraph"/>
      </w:pPr>
      <w:r>
        <w:t xml:space="preserve">Before publishing WordPress security content, ask:</w:t>
      </w:r>
    </w:p>
    <w:p>
      <w:pPr>
        <w:pStyle w:val="Compact"/>
        <w:numPr>
          <w:ilvl w:val="0"/>
          <w:numId w:val="1010"/>
        </w:numPr>
      </w:pPr>
      <w:r>
        <w:t xml:space="preserve">Would a non-expert WordPress site owner understand the main point and next step?</w:t>
      </w:r>
    </w:p>
    <w:p>
      <w:pPr>
        <w:pStyle w:val="Compact"/>
        <w:numPr>
          <w:ilvl w:val="0"/>
          <w:numId w:val="1010"/>
        </w:numPr>
      </w:pPr>
      <w:r>
        <w:t xml:space="preserve">Did we define unavoidable technical language?</w:t>
      </w:r>
    </w:p>
    <w:p>
      <w:pPr>
        <w:pStyle w:val="Compact"/>
        <w:numPr>
          <w:ilvl w:val="0"/>
          <w:numId w:val="1010"/>
        </w:numPr>
      </w:pPr>
      <w:r>
        <w:t xml:space="preserve">Did we remove unnecessary idioms, sarcasm, and blame?</w:t>
      </w:r>
    </w:p>
    <w:p>
      <w:pPr>
        <w:pStyle w:val="Compact"/>
        <w:numPr>
          <w:ilvl w:val="0"/>
          <w:numId w:val="1010"/>
        </w:numPr>
      </w:pPr>
      <w:r>
        <w:t xml:space="preserve">Does the draft preserve the reader’s dignity while still being candid about risk?</w:t>
      </w:r>
    </w:p>
    <w:p>
      <w:pPr>
        <w:pStyle w:val="Compact"/>
        <w:numPr>
          <w:ilvl w:val="0"/>
          <w:numId w:val="1010"/>
        </w:numPr>
      </w:pPr>
      <w:r>
        <w:t xml:space="preserve">Would this read well as a first introduction to WordPress and its community?</w:t>
      </w:r>
    </w:p>
    <w:p>
      <w:pPr>
        <w:pStyle w:val="Compact"/>
        <w:numPr>
          <w:ilvl w:val="0"/>
          <w:numId w:val="1010"/>
        </w:numPr>
      </w:pPr>
      <w:r>
        <w:t xml:space="preserve">Have we recommended the Learn WordPress course</w:t>
      </w:r>
      <w:r>
        <w:t xml:space="preserve"> </w:t>
      </w:r>
      <w:r>
        <w:rPr>
          <w:i/>
          <w:iCs/>
        </w:rPr>
        <w:t xml:space="preserve">Writing in the WordPress voice</w:t>
      </w:r>
      <w:r>
        <w:t xml:space="preserve"> </w:t>
      </w:r>
      <w:r>
        <w:t xml:space="preserve">when the audience includes regular contributors, maintainers, or communications staff?</w:t>
      </w:r>
    </w:p>
    <w:bookmarkEnd w:id="59"/>
    <w:bookmarkEnd w:id="60"/>
    <w:bookmarkStart w:id="66" w:name="technical-formatting-guidelines"/>
    <w:p>
      <w:pPr>
        <w:pStyle w:val="Heading2"/>
      </w:pPr>
      <w:r>
        <w:t xml:space="preserve">6. Technical Formatting Guidelines</w:t>
      </w:r>
    </w:p>
    <w:bookmarkStart w:id="61"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11"/>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11"/>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61"/>
    <w:bookmarkStart w:id="62" w:name="when-to-use-monospace"/>
    <w:p>
      <w:pPr>
        <w:pStyle w:val="Heading3"/>
      </w:pPr>
      <w:r>
        <w:t xml:space="preserve">6.2 When to Use Monospace</w:t>
      </w:r>
    </w:p>
    <w:p>
      <w:pPr>
        <w:numPr>
          <w:ilvl w:val="0"/>
          <w:numId w:val="1012"/>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2"/>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2"/>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2"/>
        </w:numPr>
      </w:pPr>
      <w:r>
        <w:t xml:space="preserve">Database fields, table names, and environment variables</w:t>
      </w:r>
    </w:p>
    <w:p>
      <w:pPr>
        <w:numPr>
          <w:ilvl w:val="0"/>
          <w:numId w:val="1012"/>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2"/>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62"/>
    <w:bookmarkStart w:id="63" w:name="when-to-use-normal-font"/>
    <w:p>
      <w:pPr>
        <w:pStyle w:val="Heading3"/>
      </w:pPr>
      <w:r>
        <w:t xml:space="preserve">6.3 When to Use Normal Font</w:t>
      </w:r>
    </w:p>
    <w:p>
      <w:pPr>
        <w:numPr>
          <w:ilvl w:val="0"/>
          <w:numId w:val="1013"/>
        </w:numPr>
      </w:pPr>
      <w:r>
        <w:t xml:space="preserve">Product names and their versions in running prose: WordPress 7.0, Cloudflare, Patchstack.</w:t>
      </w:r>
    </w:p>
    <w:p>
      <w:pPr>
        <w:numPr>
          <w:ilvl w:val="0"/>
          <w:numId w:val="1013"/>
        </w:numPr>
      </w:pPr>
      <w:r>
        <w:t xml:space="preserve">Names of organizations, teams, and conferences: OWASP, DEF CON, WordPress Security Team.</w:t>
      </w:r>
    </w:p>
    <w:p>
      <w:pPr>
        <w:numPr>
          <w:ilvl w:val="0"/>
          <w:numId w:val="1013"/>
        </w:numPr>
      </w:pPr>
      <w:r>
        <w:t xml:space="preserve">Concepts and roles: administrator, two-factor authentication, session cookie.</w:t>
      </w:r>
    </w:p>
    <w:p>
      <w:pPr>
        <w:numPr>
          <w:ilvl w:val="0"/>
          <w:numId w:val="1013"/>
        </w:numPr>
      </w:pPr>
      <w:r>
        <w:t xml:space="preserve">Error messages and security prompts when quoting them for a non-technical audience (use quotation marks).</w:t>
      </w:r>
    </w:p>
    <w:bookmarkEnd w:id="63"/>
    <w:bookmarkStart w:id="64"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64"/>
    <w:bookmarkStart w:id="65"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65"/>
    <w:bookmarkEnd w:id="66"/>
    <w:bookmarkStart w:id="76" w:name="writing-about-vulnerabilities"/>
    <w:p>
      <w:pPr>
        <w:pStyle w:val="Heading2"/>
      </w:pPr>
      <w:r>
        <w:t xml:space="preserve">7. Writing about Vulnerabilities</w:t>
      </w:r>
    </w:p>
    <w:bookmarkStart w:id="67"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4"/>
        </w:numPr>
      </w:pPr>
      <w:r>
        <w:t xml:space="preserve">Use the official CVE identifier when available.</w:t>
      </w:r>
    </w:p>
    <w:p>
      <w:pPr>
        <w:numPr>
          <w:ilvl w:val="0"/>
          <w:numId w:val="1014"/>
        </w:numPr>
      </w:pPr>
      <w:r>
        <w:t xml:space="preserve">Name the affected software and specific versions.</w:t>
      </w:r>
    </w:p>
    <w:p>
      <w:pPr>
        <w:numPr>
          <w:ilvl w:val="0"/>
          <w:numId w:val="1014"/>
        </w:numPr>
      </w:pPr>
      <w:r>
        <w:t xml:space="preserve">Describe the vulnerability type using standard terminology (XSS, SQL injection, CSRF, etc.).</w:t>
      </w:r>
    </w:p>
    <w:p>
      <w:pPr>
        <w:numPr>
          <w:ilvl w:val="0"/>
          <w:numId w:val="1014"/>
        </w:numPr>
      </w:pPr>
      <w:r>
        <w:t xml:space="preserve">State the severity using an established framework (CVSS score, Patchstack’s severity rating, or the plugin repository’s classification).</w:t>
      </w:r>
    </w:p>
    <w:p>
      <w:pPr>
        <w:numPr>
          <w:ilvl w:val="0"/>
          <w:numId w:val="1014"/>
        </w:numPr>
      </w:pPr>
      <w:r>
        <w:t xml:space="preserve">Provide the remediation: update to version X, apply a configuration change, or remove the affected component.</w:t>
      </w:r>
    </w:p>
    <w:p>
      <w:pPr>
        <w:numPr>
          <w:ilvl w:val="0"/>
          <w:numId w:val="1014"/>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67"/>
    <w:bookmarkStart w:id="69"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68">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5"/>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5"/>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5"/>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5"/>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69"/>
    <w:bookmarkStart w:id="71"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6"/>
        </w:numPr>
      </w:pPr>
      <w:r>
        <w:rPr>
          <w:b/>
          <w:bCs/>
        </w:rPr>
        <w:t xml:space="preserve">Active install count</w:t>
      </w:r>
      <w:r>
        <w:t xml:space="preserve"> </w:t>
      </w:r>
      <w:r>
        <w:t xml:space="preserve">of the affected plugin or theme.</w:t>
      </w:r>
    </w:p>
    <w:p>
      <w:pPr>
        <w:pStyle w:val="Compact"/>
        <w:numPr>
          <w:ilvl w:val="0"/>
          <w:numId w:val="1016"/>
        </w:numPr>
      </w:pPr>
      <w:r>
        <w:rPr>
          <w:b/>
          <w:bCs/>
        </w:rPr>
        <w:t xml:space="preserve">Authentication requirement</w:t>
      </w:r>
      <w:r>
        <w:t xml:space="preserve"> </w:t>
      </w:r>
      <w:r>
        <w:t xml:space="preserve">— does exploitation require a logged-in user, and at what role level?</w:t>
      </w:r>
    </w:p>
    <w:p>
      <w:pPr>
        <w:pStyle w:val="Compact"/>
        <w:numPr>
          <w:ilvl w:val="0"/>
          <w:numId w:val="1016"/>
        </w:numPr>
      </w:pPr>
      <w:r>
        <w:rPr>
          <w:b/>
          <w:bCs/>
        </w:rPr>
        <w:t xml:space="preserve">Default vs. non-default configuration</w:t>
      </w:r>
      <w:r>
        <w:t xml:space="preserve"> </w:t>
      </w:r>
      <w:r>
        <w:t xml:space="preserve">— is the vulnerable feature enabled by default?</w:t>
      </w:r>
    </w:p>
    <w:p>
      <w:pPr>
        <w:pStyle w:val="Compact"/>
        <w:numPr>
          <w:ilvl w:val="0"/>
          <w:numId w:val="1016"/>
        </w:numPr>
      </w:pPr>
      <w:r>
        <w:rPr>
          <w:b/>
          <w:bCs/>
        </w:rPr>
        <w:t xml:space="preserve">Affected version range</w:t>
      </w:r>
      <w:r>
        <w:t xml:space="preserve"> </w:t>
      </w:r>
      <w:r>
        <w:t xml:space="preserve">— which versions are vulnerable, and how far back does it go?</w:t>
      </w:r>
    </w:p>
    <w:p>
      <w:pPr>
        <w:pStyle w:val="Compact"/>
        <w:numPr>
          <w:ilvl w:val="0"/>
          <w:numId w:val="1016"/>
        </w:numPr>
      </w:pPr>
      <w:r>
        <w:rPr>
          <w:b/>
          <w:bCs/>
        </w:rPr>
        <w:t xml:space="preserve">Auto-update availability</w:t>
      </w:r>
      <w:r>
        <w:t xml:space="preserve"> </w:t>
      </w:r>
      <w:r>
        <w:t xml:space="preserve">— can users receive the patch automatically?</w:t>
      </w:r>
    </w:p>
    <w:p>
      <w:pPr>
        <w:pStyle w:val="Compact"/>
        <w:numPr>
          <w:ilvl w:val="0"/>
          <w:numId w:val="1016"/>
        </w:numPr>
      </w:pPr>
      <w:r>
        <w:rPr>
          <w:b/>
          <w:bCs/>
        </w:rPr>
        <w:t xml:space="preserve">EPSS score</w:t>
      </w:r>
      <w:r>
        <w:t xml:space="preserve"> </w:t>
      </w:r>
      <w:r>
        <w:t xml:space="preserve">— the</w:t>
      </w:r>
      <w:r>
        <w:t xml:space="preserve"> </w:t>
      </w:r>
      <w:hyperlink r:id="rId70">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71"/>
    <w:bookmarkStart w:id="72"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7"/>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7"/>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7"/>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72"/>
    <w:bookmarkStart w:id="73"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8"/>
        </w:numPr>
      </w:pPr>
      <w:r>
        <w:t xml:space="preserve">For widely used plugins (100,000+ active installations), the public interest in disclosure is high and the name will appear in vulnerability databases regardless.</w:t>
      </w:r>
    </w:p>
    <w:p>
      <w:pPr>
        <w:pStyle w:val="Compact"/>
        <w:numPr>
          <w:ilvl w:val="0"/>
          <w:numId w:val="1018"/>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8"/>
        </w:numPr>
      </w:pPr>
      <w:r>
        <w:t xml:space="preserve">Never editorialize about a plugin author’s competence or responsiveness. Stick to what happened, what was fixed, and what users should do.</w:t>
      </w:r>
    </w:p>
    <w:bookmarkEnd w:id="73"/>
    <w:bookmarkStart w:id="74"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74"/>
    <w:bookmarkStart w:id="75"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9"/>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9"/>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9"/>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9"/>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9"/>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75"/>
    <w:bookmarkEnd w:id="76"/>
    <w:bookmarkStart w:id="79"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Abilities API</w:t>
      </w:r>
      <w:r>
        <w:t xml:space="preserve"> </w:t>
      </w:r>
      <w:r>
        <w:t xml:space="preserve">— A WordPress interface for registering and executing named abilities that software can use to interact with WordPress. In WordPress 7.0, the client-side implementation integrates with server-registered abilities through the</w:t>
      </w:r>
      <w:r>
        <w:t xml:space="preserve"> </w:t>
      </w:r>
      <w:r>
        <w:rPr>
          <w:rStyle w:val="VerbatimChar"/>
        </w:rPr>
        <w:t xml:space="preserve">/wp-abilities/v1/</w:t>
      </w:r>
      <w:r>
        <w:t xml:space="preserve"> </w:t>
      </w:r>
      <w:r>
        <w:t xml:space="preserve">REST API and is explicitly intended for AI agents, workflow automation tools, and plugins. When writing about it in security contexts, frame it as an authorization and capability boundary, not just a convenience feature. See also:</w:t>
      </w:r>
      <w:r>
        <w:t xml:space="preserve"> </w:t>
      </w:r>
      <w:r>
        <w:rPr>
          <w:i/>
          <w:iCs/>
        </w:rPr>
        <w:t xml:space="preserve">authorization</w:t>
      </w:r>
      <w:r>
        <w:t xml:space="preserve">,</w:t>
      </w:r>
      <w:r>
        <w:t xml:space="preserve"> </w:t>
      </w:r>
      <w:r>
        <w:rPr>
          <w:i/>
          <w:iCs/>
        </w:rPr>
        <w:t xml:space="preserve">capability</w:t>
      </w:r>
      <w:r>
        <w:t xml:space="preserve">,</w:t>
      </w:r>
      <w:r>
        <w:t xml:space="preserve"> </w:t>
      </w:r>
      <w:r>
        <w:rPr>
          <w:i/>
          <w:iCs/>
        </w:rPr>
        <w:t xml:space="preserve">REST API</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 Client</w:t>
      </w:r>
      <w:r>
        <w:t xml:space="preserve"> </w:t>
      </w:r>
      <w:r>
        <w:t xml:space="preserve">— The WordPress 7.0 core-adjacent abstraction layer for integrating AI providers and prompt execution flows. In security writing, distinguish the AI Client from third-party provider plugins and from browser-side JavaScript wrappers. The main security questions are authorization, provider governance, output handling, and secret management rather than feature novelty. See also:</w:t>
      </w:r>
      <w:r>
        <w:t xml:space="preserve"> </w:t>
      </w:r>
      <w:r>
        <w:rPr>
          <w:i/>
          <w:iCs/>
        </w:rPr>
        <w:t xml:space="preserve">Abilities API</w:t>
      </w:r>
      <w:r>
        <w:t xml:space="preserve">,</w:t>
      </w:r>
      <w:r>
        <w:t xml:space="preserve"> </w:t>
      </w:r>
      <w:r>
        <w:rPr>
          <w:i/>
          <w:iCs/>
        </w:rPr>
        <w:t xml:space="preserve">authorization</w:t>
      </w:r>
      <w:r>
        <w:t xml:space="preserve">,</w:t>
      </w:r>
      <w:r>
        <w:t xml:space="preserve"> </w:t>
      </w:r>
      <w:r>
        <w:rPr>
          <w:i/>
          <w:iCs/>
        </w:rPr>
        <w:t xml:space="preserve">Connector</w:t>
      </w:r>
      <w:r>
        <w:t xml:space="preserve">,</w:t>
      </w:r>
      <w:r>
        <w:t xml:space="preserve"> </w:t>
      </w:r>
      <w:r>
        <w:rPr>
          <w:i/>
          <w:iCs/>
        </w:rPr>
        <w:t xml:space="preserve">Core-adjacent</w:t>
      </w:r>
      <w:r>
        <w:t xml:space="preserve">,</w:t>
      </w:r>
      <w:r>
        <w:t xml:space="preserve"> </w:t>
      </w:r>
      <w:r>
        <w:rPr>
          <w:i/>
          <w:iCs/>
        </w:rPr>
        <w:t xml:space="preserve">prompt injection</w:t>
      </w:r>
      <w:r>
        <w:t xml:space="preserve">.</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77">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Connector</w:t>
      </w:r>
      <w:r>
        <w:t xml:space="preserve"> </w:t>
      </w:r>
      <w:r>
        <w:t xml:space="preserve">— In WordPress 7.0 AI infrastructure, a registered integration that provides access to an external provider or service through the Connectors API. Connectors may source credentials from environment variables, PHP constants, or the database. When writing about connectors in security contexts, make clear that database-backed API keys are masked in the interface but not encrypted, so environment variables or</w:t>
      </w:r>
      <w:r>
        <w:t xml:space="preserve"> </w:t>
      </w:r>
      <w:r>
        <w:rPr>
          <w:rStyle w:val="VerbatimChar"/>
        </w:rPr>
        <w:t xml:space="preserve">wp-config.php</w:t>
      </w:r>
      <w:r>
        <w:t xml:space="preserve"> </w:t>
      </w:r>
      <w:r>
        <w:t xml:space="preserve">constants remain the preferred storage model. See also:</w:t>
      </w:r>
      <w:r>
        <w:t xml:space="preserve"> </w:t>
      </w:r>
      <w:r>
        <w:rPr>
          <w:i/>
          <w:iCs/>
        </w:rPr>
        <w:t xml:space="preserve">AI Client</w:t>
      </w:r>
      <w:r>
        <w:t xml:space="preserve">,</w:t>
      </w:r>
      <w:r>
        <w:t xml:space="preserve"> </w:t>
      </w:r>
      <w:r>
        <w:rPr>
          <w:i/>
          <w:iCs/>
        </w:rPr>
        <w:t xml:space="preserve">authorization</w:t>
      </w:r>
      <w:r>
        <w:t xml:space="preserve">,</w:t>
      </w:r>
      <w:r>
        <w:t xml:space="preserve"> </w:t>
      </w:r>
      <w:r>
        <w:rPr>
          <w:i/>
          <w:iCs/>
        </w:rPr>
        <w:t xml:space="preserve">wp-config.php</w:t>
      </w:r>
      <w:r>
        <w:t xml:space="preserve">.</w:t>
      </w:r>
    </w:p>
    <w:p>
      <w:pPr>
        <w:pStyle w:val="BodyText"/>
      </w:pPr>
      <w:r>
        <w:rPr>
          <w:b/>
          <w:bCs/>
        </w:rPr>
        <w:t xml:space="preserve">Core-adjacent</w:t>
      </w:r>
      <w:r>
        <w:t xml:space="preserve"> </w:t>
      </w:r>
      <w:r>
        <w:t xml:space="preserve">— Describes features, packages, APIs, or infrastructure that are closely coupled to WordPress core or shipped as part of the official WordPress project ecosystem, but are not necessarily all implemented directly in core itself. Use this term when</w:t>
      </w:r>
      <w:r>
        <w:t xml:space="preserve"> </w:t>
      </w:r>
      <w:r>
        <w:rPr>
          <w:rStyle w:val="VerbatimChar"/>
        </w:rPr>
        <w:t xml:space="preserve">core</w:t>
      </w:r>
      <w:r>
        <w:t xml:space="preserve"> </w:t>
      </w:r>
      <w:r>
        <w:t xml:space="preserve">would overstate what ships in WordPress itself and</w:t>
      </w:r>
      <w:r>
        <w:t xml:space="preserve"> </w:t>
      </w:r>
      <w:r>
        <w:rPr>
          <w:rStyle w:val="VerbatimChar"/>
        </w:rPr>
        <w:t xml:space="preserve">third-party</w:t>
      </w:r>
      <w:r>
        <w:t xml:space="preserve"> </w:t>
      </w:r>
      <w:r>
        <w:t xml:space="preserve">would understate the project relationship. See also:</w:t>
      </w:r>
      <w:r>
        <w:t xml:space="preserve"> </w:t>
      </w:r>
      <w:r>
        <w:rPr>
          <w:i/>
          <w:iCs/>
        </w:rPr>
        <w:t xml:space="preserve">AI Client</w:t>
      </w:r>
      <w:r>
        <w:t xml:space="preserve">,</w:t>
      </w:r>
      <w:r>
        <w:t xml:space="preserve"> </w:t>
      </w:r>
      <w:r>
        <w:rPr>
          <w:i/>
          <w:iCs/>
        </w:rPr>
        <w:t xml:space="preserve">WordPress</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78">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79"/>
    <w:bookmarkStart w:id="81"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20"/>
        </w:numPr>
      </w:pPr>
      <w:r>
        <w:rPr>
          <w:b/>
          <w:bCs/>
        </w:rPr>
        <w:t xml:space="preserve">Vulnerability description and classification</w:t>
      </w:r>
      <w:r>
        <w:t xml:space="preserve"> </w:t>
      </w:r>
      <w:r>
        <w:t xml:space="preserve">(critical, high, medium, or low severity based on CVSS).</w:t>
      </w:r>
    </w:p>
    <w:p>
      <w:pPr>
        <w:pStyle w:val="Compact"/>
        <w:numPr>
          <w:ilvl w:val="0"/>
          <w:numId w:val="1020"/>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20"/>
        </w:numPr>
      </w:pPr>
      <w:r>
        <w:rPr>
          <w:b/>
          <w:bCs/>
        </w:rPr>
        <w:t xml:space="preserve">Patch details:</w:t>
      </w:r>
      <w:r>
        <w:t xml:space="preserve"> </w:t>
      </w:r>
      <w:r>
        <w:t xml:space="preserve">Patch release version number.</w:t>
      </w:r>
    </w:p>
    <w:p>
      <w:pPr>
        <w:pStyle w:val="Compact"/>
        <w:numPr>
          <w:ilvl w:val="0"/>
          <w:numId w:val="1020"/>
        </w:numPr>
      </w:pPr>
      <w:r>
        <w:rPr>
          <w:b/>
          <w:bCs/>
        </w:rPr>
        <w:t xml:space="preserve">Timeline and scope:</w:t>
      </w:r>
      <w:r>
        <w:t xml:space="preserve"> </w:t>
      </w:r>
      <w:r>
        <w:t xml:space="preserve">When was the vulnerability introduced? Are all previous versions affected?</w:t>
      </w:r>
    </w:p>
    <w:p>
      <w:pPr>
        <w:pStyle w:val="Compact"/>
        <w:numPr>
          <w:ilvl w:val="0"/>
          <w:numId w:val="1020"/>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20"/>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20"/>
        </w:numPr>
      </w:pPr>
      <w:r>
        <w:rPr>
          <w:b/>
          <w:bCs/>
        </w:rPr>
        <w:t xml:space="preserve">Additional context:</w:t>
      </w:r>
      <w:r>
        <w:t xml:space="preserve"> </w:t>
      </w:r>
      <w:r>
        <w:t xml:space="preserve">Any technical nuances or environmental factors.</w:t>
      </w:r>
    </w:p>
    <w:bookmarkStart w:id="80" w:name="X731cb7f475e279d99df4e9ac9396315de09e358"/>
    <w:p>
      <w:pPr>
        <w:pStyle w:val="Heading3"/>
      </w:pPr>
      <w:r>
        <w:t xml:space="preserve">9.1 Vulnerability Communication Workflow (External)</w:t>
      </w:r>
    </w:p>
    <w:p>
      <w:pPr>
        <w:pStyle w:val="Compact"/>
        <w:numPr>
          <w:ilvl w:val="0"/>
          <w:numId w:val="1021"/>
        </w:numPr>
      </w:pPr>
      <w:r>
        <w:rPr>
          <w:b/>
          <w:bCs/>
        </w:rPr>
        <w:t xml:space="preserve">Preparation:</w:t>
      </w:r>
      <w:r>
        <w:t xml:space="preserve"> </w:t>
      </w:r>
      <w:r>
        <w:t xml:space="preserve">Development provides the information listed above.</w:t>
      </w:r>
    </w:p>
    <w:p>
      <w:pPr>
        <w:pStyle w:val="Compact"/>
        <w:numPr>
          <w:ilvl w:val="0"/>
          <w:numId w:val="1021"/>
        </w:numPr>
      </w:pPr>
      <w:r>
        <w:rPr>
          <w:b/>
          <w:bCs/>
        </w:rPr>
        <w:t xml:space="preserve">Drafting:</w:t>
      </w:r>
      <w:r>
        <w:t xml:space="preserve"> </w:t>
      </w:r>
      <w:r>
        <w:t xml:space="preserve">Customer Success drafts communications and submits them to leadership for approval.</w:t>
      </w:r>
    </w:p>
    <w:p>
      <w:pPr>
        <w:pStyle w:val="Compact"/>
        <w:numPr>
          <w:ilvl w:val="0"/>
          <w:numId w:val="1021"/>
        </w:numPr>
      </w:pPr>
      <w:r>
        <w:rPr>
          <w:b/>
          <w:bCs/>
        </w:rPr>
        <w:t xml:space="preserve">Coordination:</w:t>
      </w:r>
      <w:r>
        <w:t xml:space="preserve"> </w:t>
      </w:r>
      <w:r>
        <w:t xml:space="preserve">Development releases the patch and notifies Customer Success and Marketing.</w:t>
      </w:r>
    </w:p>
    <w:p>
      <w:pPr>
        <w:pStyle w:val="Compact"/>
        <w:numPr>
          <w:ilvl w:val="0"/>
          <w:numId w:val="1021"/>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21"/>
        </w:numPr>
      </w:pPr>
      <w:r>
        <w:rPr>
          <w:b/>
          <w:bCs/>
        </w:rPr>
        <w:t xml:space="preserve">Execution:</w:t>
      </w:r>
      <w:r>
        <w:t xml:space="preserve"> </w:t>
      </w:r>
      <w:r>
        <w:t xml:space="preserve">Marketing communicates via internal project management templates and established notification channels.</w:t>
      </w:r>
    </w:p>
    <w:bookmarkEnd w:id="80"/>
    <w:bookmarkEnd w:id="81"/>
    <w:bookmarkStart w:id="94"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2"/>
        </w:numPr>
      </w:pPr>
      <w:hyperlink r:id="rId51">
        <w:r>
          <w:rPr>
            <w:rStyle w:val="Hyperlink"/>
          </w:rPr>
          <w:t xml:space="preserve">Learn WordPress: Writing in the WordPress voice</w:t>
        </w:r>
      </w:hyperlink>
      <w:r>
        <w:t xml:space="preserve"> </w:t>
      </w:r>
      <w:r>
        <w:t xml:space="preserve">— the authoritative WordPress-specific source for voice, tone, global audience awareness, and jargon restraint. Recommended for contributors, maintainers, developer advocates, support staff, and anyone who regularly writes about WordPress.</w:t>
      </w:r>
    </w:p>
    <w:p>
      <w:pPr>
        <w:numPr>
          <w:ilvl w:val="0"/>
          <w:numId w:val="1022"/>
        </w:numPr>
      </w:pPr>
      <w:hyperlink r:id="rId82">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2"/>
        </w:numPr>
      </w:pPr>
      <w:hyperlink r:id="rId83">
        <w:r>
          <w:rPr>
            <w:rStyle w:val="Hyperlink"/>
          </w:rPr>
          <w:t xml:space="preserve">Google Developer Documentation Style Guide</w:t>
        </w:r>
      </w:hyperlink>
      <w:r>
        <w:t xml:space="preserve"> </w:t>
      </w:r>
      <w:r>
        <w:t xml:space="preserve">— general technical writing guidance.</w:t>
      </w:r>
    </w:p>
    <w:p>
      <w:pPr>
        <w:numPr>
          <w:ilvl w:val="0"/>
          <w:numId w:val="1022"/>
        </w:numPr>
      </w:pPr>
      <w:hyperlink r:id="rId84">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3"/>
        </w:numPr>
      </w:pPr>
      <w:hyperlink r:id="rId85">
        <w:r>
          <w:rPr>
            <w:rStyle w:val="Hyperlink"/>
          </w:rPr>
          <w:t xml:space="preserve">NIST Glossary of Key Information Security Terms</w:t>
        </w:r>
      </w:hyperlink>
    </w:p>
    <w:p>
      <w:pPr>
        <w:numPr>
          <w:ilvl w:val="0"/>
          <w:numId w:val="1023"/>
        </w:numPr>
      </w:pPr>
      <w:hyperlink r:id="rId86">
        <w:r>
          <w:rPr>
            <w:rStyle w:val="Hyperlink"/>
          </w:rPr>
          <w:t xml:space="preserve">OWASP Glossary</w:t>
        </w:r>
      </w:hyperlink>
    </w:p>
    <w:p>
      <w:pPr>
        <w:numPr>
          <w:ilvl w:val="0"/>
          <w:numId w:val="1023"/>
        </w:numPr>
      </w:pPr>
      <w:hyperlink r:id="rId87">
        <w:r>
          <w:rPr>
            <w:rStyle w:val="Hyperlink"/>
          </w:rPr>
          <w:t xml:space="preserve">SANS Security Glossary</w:t>
        </w:r>
      </w:hyperlink>
    </w:p>
    <w:p>
      <w:pPr>
        <w:pStyle w:val="FirstParagraph"/>
      </w:pPr>
      <w:r>
        <w:rPr>
          <w:b/>
          <w:bCs/>
        </w:rPr>
        <w:t xml:space="preserve">WordPress Security Resources</w:t>
      </w:r>
    </w:p>
    <w:p>
      <w:pPr>
        <w:numPr>
          <w:ilvl w:val="0"/>
          <w:numId w:val="1024"/>
        </w:numPr>
      </w:pPr>
      <w:r>
        <w:t xml:space="preserve">Internal WordPress Security White Paper — maintain this reference in your shared document repository (avoid local absolute file paths).</w:t>
      </w:r>
    </w:p>
    <w:p>
      <w:pPr>
        <w:numPr>
          <w:ilvl w:val="0"/>
          <w:numId w:val="1024"/>
        </w:numPr>
      </w:pPr>
      <w:hyperlink r:id="rId88">
        <w:r>
          <w:rPr>
            <w:rStyle w:val="Hyperlink"/>
          </w:rPr>
          <w:t xml:space="preserve">WordPress Security White Paper</w:t>
        </w:r>
      </w:hyperlink>
      <w:r>
        <w:t xml:space="preserve"> </w:t>
      </w:r>
      <w:r>
        <w:t xml:space="preserve">(</w:t>
      </w:r>
      <w:hyperlink r:id="rId89">
        <w:r>
          <w:rPr>
            <w:rStyle w:val="Hyperlink"/>
          </w:rPr>
          <w:t xml:space="preserve">source</w:t>
        </w:r>
      </w:hyperlink>
      <w:r>
        <w:t xml:space="preserve">)</w:t>
      </w:r>
    </w:p>
    <w:p>
      <w:pPr>
        <w:numPr>
          <w:ilvl w:val="0"/>
          <w:numId w:val="1024"/>
        </w:numPr>
      </w:pPr>
      <w:hyperlink r:id="rId90">
        <w:r>
          <w:rPr>
            <w:rStyle w:val="Hyperlink"/>
          </w:rPr>
          <w:t xml:space="preserve">Hardening WordPress — Advanced Administration Handbook</w:t>
        </w:r>
      </w:hyperlink>
    </w:p>
    <w:p>
      <w:pPr>
        <w:numPr>
          <w:ilvl w:val="0"/>
          <w:numId w:val="1024"/>
        </w:numPr>
      </w:pPr>
      <w:hyperlink r:id="rId91">
        <w:r>
          <w:rPr>
            <w:rStyle w:val="Hyperlink"/>
          </w:rPr>
          <w:t xml:space="preserve">Patchstack WordPress Vulnerability Database</w:t>
        </w:r>
      </w:hyperlink>
    </w:p>
    <w:p>
      <w:pPr>
        <w:numPr>
          <w:ilvl w:val="0"/>
          <w:numId w:val="1024"/>
        </w:numPr>
      </w:pPr>
      <w:hyperlink r:id="rId92">
        <w:r>
          <w:rPr>
            <w:rStyle w:val="Hyperlink"/>
          </w:rPr>
          <w:t xml:space="preserve">Wordfence Intelligence Vulnerability Database</w:t>
        </w:r>
      </w:hyperlink>
      <w:r>
        <w:t xml:space="preserve"> </w:t>
      </w:r>
      <w:r>
        <w:t xml:space="preserve">— real-time vulnerability data with proof-of-concept details.</w:t>
      </w:r>
    </w:p>
    <w:p>
      <w:pPr>
        <w:numPr>
          <w:ilvl w:val="0"/>
          <w:numId w:val="1024"/>
        </w:numPr>
      </w:pPr>
      <w:hyperlink r:id="rId93">
        <w:r>
          <w:rPr>
            <w:rStyle w:val="Hyperlink"/>
          </w:rPr>
          <w:t xml:space="preserve">WPScan Vulnerability Database</w:t>
        </w:r>
      </w:hyperlink>
      <w:r>
        <w:t xml:space="preserve"> </w:t>
      </w:r>
      <w:r>
        <w:t xml:space="preserve">— now maintained by Automattic as part of the Jetpack ecosystem.</w:t>
      </w:r>
    </w:p>
    <w:bookmarkEnd w:id="94"/>
    <w:bookmarkStart w:id="98" w:name="related-documents"/>
    <w:p>
      <w:pPr>
        <w:pStyle w:val="Heading2"/>
      </w:pPr>
      <w:r>
        <w:t xml:space="preserve">Related Documents</w:t>
      </w:r>
    </w:p>
    <w:p>
      <w:pPr>
        <w:pStyle w:val="Compact"/>
        <w:numPr>
          <w:ilvl w:val="0"/>
          <w:numId w:val="1025"/>
        </w:numPr>
      </w:pPr>
      <w:hyperlink r:id="rId95">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5"/>
        </w:numPr>
      </w:pPr>
      <w:hyperlink r:id="rId96">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5"/>
        </w:numPr>
      </w:pPr>
      <w:hyperlink r:id="rId97">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5"/>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8">
        <w:r>
          <w:rPr>
            <w:rStyle w:val="Hyperlink"/>
          </w:rPr>
          <w:t xml:space="preserve">wordpress.org/about/security/</w:t>
        </w:r>
      </w:hyperlink>
      <w:r>
        <w:t xml:space="preserve"> </w:t>
      </w:r>
      <w:r>
        <w:t xml:space="preserve">(</w:t>
      </w:r>
      <w:hyperlink r:id="rId89">
        <w:r>
          <w:rPr>
            <w:rStyle w:val="Hyperlink"/>
          </w:rPr>
          <w:t xml:space="preserve">source repository</w:t>
        </w:r>
      </w:hyperlink>
      <w:r>
        <w:t xml:space="preserve">).</w:t>
      </w:r>
    </w:p>
    <w:bookmarkEnd w:id="98"/>
    <w:bookmarkStart w:id="100" w:name="license-and-attribution"/>
    <w:p>
      <w:pPr>
        <w:pStyle w:val="Heading2"/>
      </w:pPr>
      <w:r>
        <w:t xml:space="preserve">License and Attribution</w:t>
      </w:r>
    </w:p>
    <w:p>
      <w:pPr>
        <w:pStyle w:val="FirstParagraph"/>
      </w:pPr>
      <w:r>
        <w:t xml:space="preserve">This document is licensed under the</w:t>
      </w:r>
      <w:r>
        <w:t xml:space="preserve"> </w:t>
      </w:r>
      <w:hyperlink r:id="rId99">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100"/>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82" Target="https://bishopfox.com/resources/cybersecurity-style-guide" TargetMode="External" /><Relationship Type="http://schemas.openxmlformats.org/officeDocument/2006/relationships/hyperlink" Id="rId99" Target="https://creativecommons.org/licenses/by-sa/4.0/" TargetMode="External" /><Relationship Type="http://schemas.openxmlformats.org/officeDocument/2006/relationships/hyperlink" Id="rId85" Target="https://csrc.nist.gov/glossary"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83" Target="https://developers.google.com/style/" TargetMode="External" /><Relationship Type="http://schemas.openxmlformats.org/officeDocument/2006/relationships/hyperlink" Id="rId77" Target="https://en.wikipedia.org/wiki/Audit_trail" TargetMode="External" /><Relationship Type="http://schemas.openxmlformats.org/officeDocument/2006/relationships/hyperlink" Id="rId89" Target="https://github.com/WordPress/Security-White-Paper" TargetMode="External" /><Relationship Type="http://schemas.openxmlformats.org/officeDocument/2006/relationships/hyperlink" Id="rId97" Target="https://github.com/dknauss/wordpress-runbook-template" TargetMode="External" /><Relationship Type="http://schemas.openxmlformats.org/officeDocument/2006/relationships/hyperlink" Id="rId96" Target="https://github.com/dknauss/wp-security-benchmark" TargetMode="External" /><Relationship Type="http://schemas.openxmlformats.org/officeDocument/2006/relationships/hyperlink" Id="rId95" Target="https://github.com/dknauss/wp-security-hardening-guide" TargetMode="External" /><Relationship Type="http://schemas.openxmlformats.org/officeDocument/2006/relationships/hyperlink" Id="rId84" Target="https://learn.microsoft.com/en-us/style-guide/" TargetMode="External" /><Relationship Type="http://schemas.openxmlformats.org/officeDocument/2006/relationships/hyperlink" Id="rId51" Target="https://learn.wordpress.org/course/writing-in-the-wordpress-voice/" TargetMode="External" /><Relationship Type="http://schemas.openxmlformats.org/officeDocument/2006/relationships/hyperlink" Id="rId78" Target="https://owasp.org/Top10/2025/" TargetMode="External" /><Relationship Type="http://schemas.openxmlformats.org/officeDocument/2006/relationships/hyperlink" Id="rId86" Target="https://owasp.org/www-community/Glossary" TargetMode="External" /><Relationship Type="http://schemas.openxmlformats.org/officeDocument/2006/relationships/hyperlink" Id="rId91" Target="https://patchstack.com/database/" TargetMode="External" /><Relationship Type="http://schemas.openxmlformats.org/officeDocument/2006/relationships/hyperlink" Id="rId88" Target="https://wordpress.org/about/security/" TargetMode="External" /><Relationship Type="http://schemas.openxmlformats.org/officeDocument/2006/relationships/hyperlink" Id="rId93" Target="https://wpscan.com/wordpresses/" TargetMode="External" /><Relationship Type="http://schemas.openxmlformats.org/officeDocument/2006/relationships/hyperlink" Id="rId68" Target="https://www.first.org/cvss/" TargetMode="External" /><Relationship Type="http://schemas.openxmlformats.org/officeDocument/2006/relationships/hyperlink" Id="rId70" Target="https://www.first.org/epss/" TargetMode="External" /><Relationship Type="http://schemas.openxmlformats.org/officeDocument/2006/relationships/hyperlink" Id="rId87" Target="https://www.sans.org/security-resources/glossary-of-terms/" TargetMode="External" /><Relationship Type="http://schemas.openxmlformats.org/officeDocument/2006/relationships/hyperlink" Id="rId92"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82" Target="https://bishopfox.com/resources/cybersecurity-style-guide" TargetMode="External" /><Relationship Type="http://schemas.openxmlformats.org/officeDocument/2006/relationships/hyperlink" Id="rId99" Target="https://creativecommons.org/licenses/by-sa/4.0/" TargetMode="External" /><Relationship Type="http://schemas.openxmlformats.org/officeDocument/2006/relationships/hyperlink" Id="rId85" Target="https://csrc.nist.gov/glossary" TargetMode="External" /><Relationship Type="http://schemas.openxmlformats.org/officeDocument/2006/relationships/hyperlink" Id="rId90" Target="https://developer.wordpress.org/advanced-administration/security/hardening/" TargetMode="External" /><Relationship Type="http://schemas.openxmlformats.org/officeDocument/2006/relationships/hyperlink" Id="rId83" Target="https://developers.google.com/style/" TargetMode="External" /><Relationship Type="http://schemas.openxmlformats.org/officeDocument/2006/relationships/hyperlink" Id="rId77" Target="https://en.wikipedia.org/wiki/Audit_trail" TargetMode="External" /><Relationship Type="http://schemas.openxmlformats.org/officeDocument/2006/relationships/hyperlink" Id="rId89" Target="https://github.com/WordPress/Security-White-Paper" TargetMode="External" /><Relationship Type="http://schemas.openxmlformats.org/officeDocument/2006/relationships/hyperlink" Id="rId97" Target="https://github.com/dknauss/wordpress-runbook-template" TargetMode="External" /><Relationship Type="http://schemas.openxmlformats.org/officeDocument/2006/relationships/hyperlink" Id="rId96" Target="https://github.com/dknauss/wp-security-benchmark" TargetMode="External" /><Relationship Type="http://schemas.openxmlformats.org/officeDocument/2006/relationships/hyperlink" Id="rId95" Target="https://github.com/dknauss/wp-security-hardening-guide" TargetMode="External" /><Relationship Type="http://schemas.openxmlformats.org/officeDocument/2006/relationships/hyperlink" Id="rId84" Target="https://learn.microsoft.com/en-us/style-guide/" TargetMode="External" /><Relationship Type="http://schemas.openxmlformats.org/officeDocument/2006/relationships/hyperlink" Id="rId51" Target="https://learn.wordpress.org/course/writing-in-the-wordpress-voice/" TargetMode="External" /><Relationship Type="http://schemas.openxmlformats.org/officeDocument/2006/relationships/hyperlink" Id="rId78" Target="https://owasp.org/Top10/2025/" TargetMode="External" /><Relationship Type="http://schemas.openxmlformats.org/officeDocument/2006/relationships/hyperlink" Id="rId86" Target="https://owasp.org/www-community/Glossary" TargetMode="External" /><Relationship Type="http://schemas.openxmlformats.org/officeDocument/2006/relationships/hyperlink" Id="rId91" Target="https://patchstack.com/database/" TargetMode="External" /><Relationship Type="http://schemas.openxmlformats.org/officeDocument/2006/relationships/hyperlink" Id="rId88" Target="https://wordpress.org/about/security/" TargetMode="External" /><Relationship Type="http://schemas.openxmlformats.org/officeDocument/2006/relationships/hyperlink" Id="rId93" Target="https://wpscan.com/wordpresses/" TargetMode="External" /><Relationship Type="http://schemas.openxmlformats.org/officeDocument/2006/relationships/hyperlink" Id="rId68" Target="https://www.first.org/cvss/" TargetMode="External" /><Relationship Type="http://schemas.openxmlformats.org/officeDocument/2006/relationships/hyperlink" Id="rId70" Target="https://www.first.org/epss/" TargetMode="External" /><Relationship Type="http://schemas.openxmlformats.org/officeDocument/2006/relationships/hyperlink" Id="rId87" Target="https://www.sans.org/security-resources/glossary-of-terms/" TargetMode="External" /><Relationship Type="http://schemas.openxmlformats.org/officeDocument/2006/relationships/hyperlink" Id="rId92"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2026-06-17T16:04:30Z</dcterms:created>
  <dcterms:modified xsi:type="dcterms:W3CDTF">2026-06-17T16:04:30Z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17, 2026</vt:lpwstr>
  </property>
  <property fmtid="{D5CDD505-2E9C-101B-9397-08002B2CF9AE}" pid="3" name="subtitle">
    <vt:lpwstr>Principles, Practices, and Terminology for Clear, Honest, and Empowering Communication</vt:lpwstr>
  </property>
  <property fmtid="{D5CDD505-2E9C-101B-9397-08002B2CF9AE}" pid="4" name="version">
    <vt:lpwstr>1.2.1</vt:lpwstr>
  </property>
</Properties>
</file>