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Community</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typically disable this endpoint unless specifically required. Always written in monospace. See also:</w:t>
      </w:r>
      <w:r>
        <w:t xml:space="preserve"> </w:t>
      </w:r>
      <w:r>
        <w:rPr>
          <w:i/>
          <w:iCs/>
        </w:rPr>
        <w:t xml:space="preserve">XML-RPC</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Recommended to disable unless specifically required.</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1"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1"/>
    <w:bookmarkStart w:id="73" w:name="license-and-attribution"/>
    <w:p>
      <w:pPr>
        <w:pStyle w:val="Heading2"/>
      </w:pPr>
      <w:r>
        <w:t xml:space="preserve">License and Attribution</w:t>
      </w:r>
    </w:p>
    <w:p>
      <w:pPr>
        <w:pStyle w:val="FirstParagraph"/>
      </w:pPr>
      <w:r>
        <w:t xml:space="preserve">This document is licensed under the</w:t>
      </w:r>
      <w:r>
        <w:t xml:space="preserve"> </w:t>
      </w:r>
      <w:hyperlink r:id="rId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Community</dc:title>
  <dc:creator>Dan Knauss</dc:creator>
  <cp:keywords/>
  <dcterms:created xsi:type="dcterms:W3CDTF">2026-03-02T21:35:27Z</dcterms:created>
  <dcterms:modified xsi:type="dcterms:W3CDTF">2026-03-02T21:35:27Z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