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366D8" w14:textId="3D374C23" w:rsidR="00DF42AA" w:rsidRDefault="00AF53ED" w:rsidP="00B21B78">
      <w:pPr>
        <w:pStyle w:val="Heading1"/>
        <w:numPr>
          <w:ilvl w:val="0"/>
          <w:numId w:val="0"/>
        </w:numPr>
        <w:ind w:left="432" w:hanging="432"/>
      </w:pPr>
      <w:r>
        <w:t>Clustering</w:t>
      </w:r>
      <w:r>
        <w:t xml:space="preserve"> </w:t>
      </w:r>
      <w:r w:rsidR="00C23CB2">
        <w:t xml:space="preserve">Gentrification: </w:t>
      </w:r>
      <w:r w:rsidR="00C97FBE">
        <w:t xml:space="preserve"> Neighborhood Change</w:t>
      </w:r>
      <w:r w:rsidR="00C23CB2">
        <w:t xml:space="preserve"> in</w:t>
      </w:r>
      <w:r w:rsidR="00433976">
        <w:t xml:space="preserve"> Nashville</w:t>
      </w:r>
      <w:r w:rsidR="00C97FBE">
        <w:t>, TN</w:t>
      </w:r>
      <w:r w:rsidR="00433976">
        <w:t>.</w:t>
      </w:r>
    </w:p>
    <w:p w14:paraId="63DD4542" w14:textId="77777777" w:rsidR="00853E79" w:rsidRDefault="00853E79" w:rsidP="00853E79"/>
    <w:p w14:paraId="3AB6D82F" w14:textId="461347A0" w:rsidR="00853E79" w:rsidRDefault="00DA1094" w:rsidP="00853E79">
      <w:r>
        <w:t>David Knorr</w:t>
      </w:r>
      <w:r w:rsidR="0060466E">
        <w:t>,</w:t>
      </w:r>
      <w:r w:rsidR="00F56E99">
        <w:t xml:space="preserve"> M</w:t>
      </w:r>
      <w:r w:rsidR="0060466E">
        <w:t>.</w:t>
      </w:r>
      <w:r w:rsidR="00F56E99">
        <w:t>S</w:t>
      </w:r>
      <w:r w:rsidR="0060466E">
        <w:t>.</w:t>
      </w:r>
      <w:r>
        <w:t>,</w:t>
      </w:r>
      <w:r w:rsidR="0060466E">
        <w:t xml:space="preserve"> </w:t>
      </w:r>
      <w:r>
        <w:t>Jonathan Gilligan</w:t>
      </w:r>
      <w:r w:rsidR="00FD23E6">
        <w:t>,</w:t>
      </w:r>
      <w:r w:rsidR="00F56E99">
        <w:t xml:space="preserve"> Ph</w:t>
      </w:r>
      <w:r w:rsidR="00FD23E6">
        <w:t>.</w:t>
      </w:r>
      <w:r w:rsidR="00F56E99">
        <w:t>D</w:t>
      </w:r>
      <w:r w:rsidR="00FD23E6">
        <w:t>.</w:t>
      </w:r>
    </w:p>
    <w:p w14:paraId="1390496F" w14:textId="24894E7C" w:rsidR="00853E79" w:rsidRPr="00853E79" w:rsidRDefault="00F50336" w:rsidP="00853E79">
      <w:r>
        <w:t>9</w:t>
      </w:r>
      <w:r w:rsidR="00853E79">
        <w:t>/</w:t>
      </w:r>
      <w:r w:rsidR="00C23CB2">
        <w:t>30</w:t>
      </w:r>
      <w:r w:rsidR="00853E79">
        <w:t>/20</w:t>
      </w:r>
      <w:r w:rsidR="002A6F40">
        <w:t>2</w:t>
      </w:r>
      <w:r w:rsidR="00C23CB2">
        <w:t>1</w:t>
      </w:r>
    </w:p>
    <w:p w14:paraId="2BD8B708" w14:textId="3B0F24BB" w:rsidR="00E75419" w:rsidRPr="00B43148" w:rsidRDefault="00433976" w:rsidP="00B43148">
      <w:r>
        <w:t xml:space="preserve">Keywords: Gentrification, </w:t>
      </w:r>
      <w:r w:rsidR="00C455FF">
        <w:t xml:space="preserve">Neighborhood Change, </w:t>
      </w:r>
      <w:r>
        <w:t xml:space="preserve">Machine Learning, Unsupervised Learning, Clustering </w:t>
      </w:r>
    </w:p>
    <w:p w14:paraId="33F26774" w14:textId="77777777" w:rsidR="00433976" w:rsidRPr="00B21B78" w:rsidRDefault="00433976" w:rsidP="00B21B78">
      <w:pPr>
        <w:pStyle w:val="Heading2"/>
        <w:numPr>
          <w:ilvl w:val="0"/>
          <w:numId w:val="0"/>
        </w:numPr>
        <w:ind w:left="576" w:hanging="576"/>
      </w:pPr>
      <w:r w:rsidRPr="00B21B78">
        <w:t>Abstract</w:t>
      </w:r>
    </w:p>
    <w:p w14:paraId="16B74684" w14:textId="6D252FB8" w:rsidR="00EA196A" w:rsidRDefault="00433976" w:rsidP="00433976">
      <w:r>
        <w:t xml:space="preserve"> </w:t>
      </w:r>
      <w:r w:rsidR="00420ED6">
        <w:tab/>
      </w:r>
      <w:r>
        <w:t xml:space="preserve">Gentrification is a polarizing and quantitatively elusive </w:t>
      </w:r>
      <w:r w:rsidR="009D3EC8">
        <w:t>type</w:t>
      </w:r>
      <w:r>
        <w:t xml:space="preserve"> of neighborhood change that disproportionately threatens </w:t>
      </w:r>
      <w:r w:rsidR="00ED3ACC">
        <w:t xml:space="preserve">to displace </w:t>
      </w:r>
      <w:r>
        <w:t xml:space="preserve">our community’s most vulnerable populations. </w:t>
      </w:r>
      <w:r w:rsidR="00A45A77">
        <w:t xml:space="preserve">Here we examine </w:t>
      </w:r>
      <w:r w:rsidR="009D3EC8">
        <w:t>the shortcomings</w:t>
      </w:r>
      <w:r>
        <w:t xml:space="preserve"> of</w:t>
      </w:r>
      <w:r w:rsidR="00785482">
        <w:t xml:space="preserve"> </w:t>
      </w:r>
      <w:r w:rsidR="0070171C">
        <w:t xml:space="preserve">threshold-based </w:t>
      </w:r>
      <w:r w:rsidR="00ED3ACC">
        <w:t>research</w:t>
      </w:r>
      <w:r w:rsidR="00785482">
        <w:t xml:space="preserve"> methods </w:t>
      </w:r>
      <w:r w:rsidR="00A17943">
        <w:t xml:space="preserve">used </w:t>
      </w:r>
      <w:r w:rsidR="00FA1F0B">
        <w:t>to</w:t>
      </w:r>
      <w:r>
        <w:t xml:space="preserve"> </w:t>
      </w:r>
      <w:r w:rsidR="0083092D">
        <w:t>identify</w:t>
      </w:r>
      <w:r>
        <w:t xml:space="preserve"> gentrification</w:t>
      </w:r>
      <w:r w:rsidR="009D3EC8">
        <w:t xml:space="preserve"> </w:t>
      </w:r>
      <w:r w:rsidR="00E74D0A">
        <w:t>and</w:t>
      </w:r>
      <w:r w:rsidR="009D3EC8">
        <w:t xml:space="preserve"> advanc</w:t>
      </w:r>
      <w:r w:rsidR="00E74D0A">
        <w:t>e</w:t>
      </w:r>
      <w:r w:rsidR="009D3EC8">
        <w:t xml:space="preserve"> </w:t>
      </w:r>
      <w:r w:rsidR="0070171C">
        <w:t xml:space="preserve">a </w:t>
      </w:r>
      <w:r w:rsidR="00D16287">
        <w:t>more objective</w:t>
      </w:r>
      <w:r w:rsidR="009D3EC8">
        <w:t xml:space="preserve"> </w:t>
      </w:r>
      <w:r w:rsidR="00ED3ACC">
        <w:t xml:space="preserve">k-means clustering </w:t>
      </w:r>
      <w:r w:rsidR="009D3EC8">
        <w:t>alternative</w:t>
      </w:r>
      <w:r w:rsidR="00785482">
        <w:t xml:space="preserve">. </w:t>
      </w:r>
      <w:r w:rsidR="00853E79">
        <w:t xml:space="preserve">We </w:t>
      </w:r>
      <w:r w:rsidR="00ED3ACC">
        <w:t xml:space="preserve">highlight </w:t>
      </w:r>
      <w:r>
        <w:t>major methodological inconsistencies</w:t>
      </w:r>
      <w:r w:rsidR="00ED3ACC">
        <w:t xml:space="preserve"> in legacy models</w:t>
      </w:r>
      <w:r w:rsidR="00F67345">
        <w:t xml:space="preserve"> which </w:t>
      </w:r>
      <w:r w:rsidR="00D16287">
        <w:t>misconstrue gentrification</w:t>
      </w:r>
      <w:r w:rsidR="0083092D">
        <w:t>’</w:t>
      </w:r>
      <w:r w:rsidR="00D16287">
        <w:t>s</w:t>
      </w:r>
      <w:r w:rsidR="0083092D">
        <w:t xml:space="preserve"> costs, benefits, </w:t>
      </w:r>
      <w:r w:rsidR="00ED3ACC">
        <w:t>a</w:t>
      </w:r>
      <w:r w:rsidR="0083092D">
        <w:t>nd causes</w:t>
      </w:r>
      <w:r>
        <w:t xml:space="preserve">. </w:t>
      </w:r>
      <w:r w:rsidR="00E74D0A">
        <w:t xml:space="preserve">Our </w:t>
      </w:r>
      <w:r>
        <w:t xml:space="preserve">clustering </w:t>
      </w:r>
      <w:r w:rsidR="00E74D0A">
        <w:t>method</w:t>
      </w:r>
      <w:r>
        <w:t xml:space="preserve"> </w:t>
      </w:r>
      <w:r w:rsidR="00E74D0A">
        <w:t>uses</w:t>
      </w:r>
      <w:r>
        <w:t xml:space="preserve"> six </w:t>
      </w:r>
      <w:r w:rsidR="00440DC3">
        <w:t>c</w:t>
      </w:r>
      <w:r w:rsidR="00375318">
        <w:t xml:space="preserve">ensus </w:t>
      </w:r>
      <w:r>
        <w:t xml:space="preserve">change variables to identify </w:t>
      </w:r>
      <w:r w:rsidR="00FA1F0B">
        <w:t>five</w:t>
      </w:r>
      <w:r>
        <w:t xml:space="preserve"> dominant trajectories of neighborhood change in Nashville, TN (Davidson County) between 2000 and 201</w:t>
      </w:r>
      <w:r w:rsidR="00440DC3">
        <w:t>9</w:t>
      </w:r>
      <w:r>
        <w:t xml:space="preserve">. </w:t>
      </w:r>
      <w:r w:rsidR="00600155">
        <w:t>Two</w:t>
      </w:r>
      <w:r>
        <w:t xml:space="preserve"> </w:t>
      </w:r>
      <w:r w:rsidR="00A17943">
        <w:t>emergent</w:t>
      </w:r>
      <w:r>
        <w:t xml:space="preserve"> typolog</w:t>
      </w:r>
      <w:r w:rsidR="00600155">
        <w:t>ies</w:t>
      </w:r>
      <w:r>
        <w:t xml:space="preserve"> </w:t>
      </w:r>
      <w:r w:rsidR="00FA1F0B">
        <w:t>exhibit</w:t>
      </w:r>
      <w:r w:rsidR="00440DC3">
        <w:t xml:space="preserve"> patterns of</w:t>
      </w:r>
      <w:r w:rsidR="00FA1F0B">
        <w:t xml:space="preserve"> </w:t>
      </w:r>
      <w:r>
        <w:t>gentrification</w:t>
      </w:r>
      <w:r w:rsidR="002C23D2">
        <w:t>, restructuring,</w:t>
      </w:r>
      <w:r>
        <w:t xml:space="preserve"> and </w:t>
      </w:r>
      <w:r w:rsidR="002C23D2">
        <w:t>potential</w:t>
      </w:r>
      <w:r>
        <w:t xml:space="preserve"> residential displacement</w:t>
      </w:r>
      <w:r w:rsidR="00FA1F0B">
        <w:t>.</w:t>
      </w:r>
      <w:r w:rsidR="002C23D2">
        <w:t xml:space="preserve"> Gentrification typologies </w:t>
      </w:r>
      <w:r w:rsidR="009D3EC8">
        <w:t>are</w:t>
      </w:r>
      <w:r w:rsidR="002C23D2">
        <w:t xml:space="preserve"> juxtaposed by a typology </w:t>
      </w:r>
      <w:r w:rsidR="009D3EC8">
        <w:t>emblematic of</w:t>
      </w:r>
      <w:r w:rsidR="00A17943">
        <w:t xml:space="preserve"> </w:t>
      </w:r>
      <w:r w:rsidR="00D16287">
        <w:t xml:space="preserve">low-income </w:t>
      </w:r>
      <w:r w:rsidR="00A17943">
        <w:t xml:space="preserve">resettlement along </w:t>
      </w:r>
      <w:r w:rsidR="002C23D2">
        <w:t xml:space="preserve">suburban </w:t>
      </w:r>
      <w:r w:rsidR="00A17943">
        <w:t xml:space="preserve">highway corridors. </w:t>
      </w:r>
      <w:r>
        <w:t>A significant join-count statistic reveal</w:t>
      </w:r>
      <w:r w:rsidR="00FA1F0B">
        <w:t>s</w:t>
      </w:r>
      <w:r>
        <w:t xml:space="preserve"> that </w:t>
      </w:r>
      <w:r w:rsidR="009D3EC8">
        <w:t xml:space="preserve">Nashville </w:t>
      </w:r>
      <w:r w:rsidR="002466B4">
        <w:t xml:space="preserve">neighborhood </w:t>
      </w:r>
      <w:r>
        <w:t xml:space="preserve">change </w:t>
      </w:r>
      <w:r w:rsidR="009D3EC8">
        <w:t>is</w:t>
      </w:r>
      <w:r>
        <w:t xml:space="preserve"> </w:t>
      </w:r>
      <w:r w:rsidR="00485098">
        <w:t xml:space="preserve">spatially </w:t>
      </w:r>
      <w:r>
        <w:t>c</w:t>
      </w:r>
      <w:r w:rsidR="007F19E6">
        <w:t>lustered</w:t>
      </w:r>
      <w:r w:rsidR="00785482">
        <w:t xml:space="preserve"> (</w:t>
      </w:r>
      <w:proofErr w:type="gramStart"/>
      <w:r w:rsidR="00785482">
        <w:t>i.e.</w:t>
      </w:r>
      <w:proofErr w:type="gramEnd"/>
      <w:r w:rsidR="00785482">
        <w:t xml:space="preserve"> non-random)</w:t>
      </w:r>
      <w:r w:rsidR="00A17943">
        <w:t>, suggesting</w:t>
      </w:r>
      <w:r w:rsidR="00485098">
        <w:t xml:space="preserve"> </w:t>
      </w:r>
      <w:r w:rsidR="009D3EC8">
        <w:t xml:space="preserve">a </w:t>
      </w:r>
      <w:r w:rsidR="00485098">
        <w:t>structured</w:t>
      </w:r>
      <w:r w:rsidR="00EC787E">
        <w:t xml:space="preserve"> </w:t>
      </w:r>
      <w:r w:rsidR="00005D3C">
        <w:t>process</w:t>
      </w:r>
      <w:r w:rsidR="00EC787E">
        <w:t xml:space="preserve"> that </w:t>
      </w:r>
      <w:r w:rsidR="00F56E99">
        <w:t>may</w:t>
      </w:r>
      <w:r w:rsidR="00EC787E">
        <w:t xml:space="preserve"> </w:t>
      </w:r>
      <w:r w:rsidR="00F56E99">
        <w:t>benefit</w:t>
      </w:r>
      <w:r w:rsidR="009D3EC8">
        <w:t xml:space="preserve"> from</w:t>
      </w:r>
      <w:r w:rsidR="007F19E6">
        <w:t xml:space="preserve"> </w:t>
      </w:r>
      <w:r w:rsidR="00EC787E">
        <w:t xml:space="preserve">forward-looking </w:t>
      </w:r>
      <w:r w:rsidR="00485098">
        <w:t xml:space="preserve">and predictive </w:t>
      </w:r>
      <w:r w:rsidR="00EC787E">
        <w:t>research</w:t>
      </w:r>
      <w:r>
        <w:t>.</w:t>
      </w:r>
    </w:p>
    <w:p w14:paraId="09459168" w14:textId="72F216DD" w:rsidR="00D72E30" w:rsidRDefault="00D27C33" w:rsidP="00D72E30">
      <w:pPr>
        <w:pStyle w:val="Heading1"/>
      </w:pPr>
      <w:r>
        <w:t>Introduction</w:t>
      </w:r>
    </w:p>
    <w:p w14:paraId="6EB69930" w14:textId="0012796A" w:rsidR="00E46E0A" w:rsidRDefault="00421F6C" w:rsidP="00E82E49">
      <w:pPr>
        <w:ind w:firstLine="720"/>
      </w:pPr>
      <w:r>
        <w:t xml:space="preserve">Since </w:t>
      </w:r>
      <w:r w:rsidR="009C04BA">
        <w:t xml:space="preserve">Glass </w:t>
      </w:r>
      <w:r w:rsidR="00485098">
        <w:t xml:space="preserve">(1964) </w:t>
      </w:r>
      <w:r w:rsidR="00996540">
        <w:t>first</w:t>
      </w:r>
      <w:r>
        <w:t xml:space="preserve"> described </w:t>
      </w:r>
      <w:r w:rsidR="00996540">
        <w:t xml:space="preserve">gentrification </w:t>
      </w:r>
      <w:r>
        <w:t xml:space="preserve">as </w:t>
      </w:r>
      <w:r w:rsidR="00485098" w:rsidRPr="00421F6C">
        <w:t>“</w:t>
      </w:r>
      <w:r w:rsidR="00485098" w:rsidRPr="001F6FAE">
        <w:t>working class quarters invaded by the middle class</w:t>
      </w:r>
      <w:r w:rsidRPr="00421F6C">
        <w:t>,</w:t>
      </w:r>
      <w:r w:rsidR="00485098" w:rsidRPr="00421F6C">
        <w:t>”</w:t>
      </w:r>
      <w:r w:rsidR="009C04BA" w:rsidRPr="00421F6C">
        <w:t xml:space="preserve"> </w:t>
      </w:r>
      <w:r>
        <w:t xml:space="preserve">the </w:t>
      </w:r>
      <w:r w:rsidR="008B7AB4">
        <w:t>process</w:t>
      </w:r>
      <w:r>
        <w:t xml:space="preserve"> has been </w:t>
      </w:r>
      <w:r w:rsidR="008B7AB4">
        <w:t>the subject of rich academic focus and policy debate</w:t>
      </w:r>
      <w:r w:rsidR="00996540">
        <w:t>. O</w:t>
      </w:r>
      <w:r>
        <w:t xml:space="preserve">ver time researchers have struggled to clearly </w:t>
      </w:r>
      <w:r w:rsidR="00807C35">
        <w:t>identify</w:t>
      </w:r>
      <w:r w:rsidR="00BE5407">
        <w:t xml:space="preserve"> </w:t>
      </w:r>
      <w:r w:rsidR="00E46E0A">
        <w:t xml:space="preserve">and characterize </w:t>
      </w:r>
      <w:r>
        <w:t xml:space="preserve">which kinds of </w:t>
      </w:r>
      <w:r w:rsidR="00A363D7">
        <w:t xml:space="preserve">neighborhood </w:t>
      </w:r>
      <w:r w:rsidR="00807C35">
        <w:t>restructuring</w:t>
      </w:r>
      <w:r>
        <w:t xml:space="preserve"> constitute gentrification</w:t>
      </w:r>
      <w:r w:rsidR="00485098">
        <w:t>.</w:t>
      </w:r>
      <w:r>
        <w:t xml:space="preserve"> T</w:t>
      </w:r>
      <w:r w:rsidR="00707E16">
        <w:t xml:space="preserve">he meaning of </w:t>
      </w:r>
      <w:r w:rsidR="00E46E0A">
        <w:t xml:space="preserve">gentrification </w:t>
      </w:r>
      <w:r>
        <w:t xml:space="preserve">has </w:t>
      </w:r>
      <w:r w:rsidR="00E46E0A">
        <w:t>expanded to encompass</w:t>
      </w:r>
      <w:r>
        <w:t xml:space="preserve"> many kinds of change</w:t>
      </w:r>
      <w:r w:rsidR="001477C7">
        <w:t xml:space="preserve">, </w:t>
      </w:r>
      <w:r>
        <w:t>dilut</w:t>
      </w:r>
      <w:r w:rsidR="001477C7">
        <w:t>ing</w:t>
      </w:r>
      <w:r>
        <w:t xml:space="preserve"> </w:t>
      </w:r>
      <w:r w:rsidR="001477C7">
        <w:t>its value</w:t>
      </w:r>
      <w:r>
        <w:t xml:space="preserve"> as a clear organizing concept for analyzing </w:t>
      </w:r>
      <w:r w:rsidR="001477C7">
        <w:t xml:space="preserve">neighborhood </w:t>
      </w:r>
      <w:r>
        <w:t>change</w:t>
      </w:r>
      <w:r w:rsidR="00E46E0A">
        <w:t>.</w:t>
      </w:r>
    </w:p>
    <w:p w14:paraId="1C33458F" w14:textId="7EF5B009" w:rsidR="0063048F" w:rsidRDefault="00102A44" w:rsidP="00A2087A">
      <w:pPr>
        <w:ind w:firstLine="720"/>
      </w:pPr>
      <w:proofErr w:type="spellStart"/>
      <w:r>
        <w:t>Maloutas</w:t>
      </w:r>
      <w:proofErr w:type="spellEnd"/>
      <w:r>
        <w:t xml:space="preserve"> (2012a) argues that the</w:t>
      </w:r>
      <w:r w:rsidR="00AA4E29">
        <w:t xml:space="preserve"> conceptual</w:t>
      </w:r>
      <w:r>
        <w:t xml:space="preserve"> definition </w:t>
      </w:r>
      <w:r w:rsidR="00AA4E29">
        <w:t xml:space="preserve">of gentrification </w:t>
      </w:r>
      <w:r>
        <w:t xml:space="preserve">has been stretched unrecognizably </w:t>
      </w:r>
      <w:r w:rsidR="00F37E30">
        <w:t>since its infancy and</w:t>
      </w:r>
      <w:r>
        <w:t xml:space="preserve"> original </w:t>
      </w:r>
      <w:r w:rsidR="00F37E30">
        <w:t>context</w:t>
      </w:r>
      <w:r>
        <w:t xml:space="preserve">, resulting in </w:t>
      </w:r>
      <w:r w:rsidRPr="00421F6C">
        <w:t>“</w:t>
      </w:r>
      <w:r w:rsidRPr="001F6FAE">
        <w:t>a regression in conceptual clarity and hence in theoretical rigor.</w:t>
      </w:r>
      <w:r w:rsidRPr="00421F6C">
        <w:t>”</w:t>
      </w:r>
      <w:r>
        <w:t xml:space="preserve"> </w:t>
      </w:r>
      <w:r w:rsidR="00421F6C">
        <w:t xml:space="preserve">This loss of focus </w:t>
      </w:r>
      <w:r w:rsidR="00D16287">
        <w:t xml:space="preserve">in discourse </w:t>
      </w:r>
      <w:r w:rsidR="00421F6C">
        <w:t xml:space="preserve">has </w:t>
      </w:r>
      <w:r w:rsidR="00F37E30">
        <w:t xml:space="preserve">leaked into </w:t>
      </w:r>
      <w:r w:rsidR="00D16287">
        <w:t xml:space="preserve">research </w:t>
      </w:r>
      <w:r w:rsidR="00F37E30">
        <w:t xml:space="preserve">where </w:t>
      </w:r>
      <w:r w:rsidR="00421F6C">
        <w:t xml:space="preserve">it has </w:t>
      </w:r>
      <w:r w:rsidR="00D16287">
        <w:t>inhibit</w:t>
      </w:r>
      <w:r w:rsidR="00F37E30">
        <w:t>ed</w:t>
      </w:r>
      <w:r w:rsidR="00D16287">
        <w:t xml:space="preserve"> </w:t>
      </w:r>
      <w:r w:rsidR="00AA4E29">
        <w:t>efforts</w:t>
      </w:r>
      <w:r w:rsidR="0063048F">
        <w:t xml:space="preserve"> to</w:t>
      </w:r>
      <w:r w:rsidR="00DF568D">
        <w:t xml:space="preserve"> </w:t>
      </w:r>
      <w:r w:rsidR="00704930">
        <w:t>calculate</w:t>
      </w:r>
      <w:r w:rsidR="00DF568D">
        <w:t xml:space="preserve"> the benefits, costs, causes, and responses to gentrification. The</w:t>
      </w:r>
      <w:r w:rsidR="00D16287">
        <w:t xml:space="preserve"> loose</w:t>
      </w:r>
      <w:r w:rsidR="00DF568D">
        <w:t xml:space="preserve"> </w:t>
      </w:r>
      <w:r w:rsidR="00AA4E29">
        <w:t>conceptual foundations of gentrification have</w:t>
      </w:r>
      <w:r w:rsidR="00704930">
        <w:t xml:space="preserve"> licens</w:t>
      </w:r>
      <w:r w:rsidR="00AA4E29">
        <w:t>ed</w:t>
      </w:r>
      <w:r w:rsidR="00704930">
        <w:t xml:space="preserve"> </w:t>
      </w:r>
      <w:r w:rsidR="00F37E30">
        <w:t>a spectrum of</w:t>
      </w:r>
      <w:r w:rsidR="00DF568D">
        <w:t xml:space="preserve"> </w:t>
      </w:r>
      <w:r w:rsidR="00AA4E29">
        <w:t>quantitative</w:t>
      </w:r>
      <w:r w:rsidR="00704930">
        <w:t xml:space="preserve"> methods to </w:t>
      </w:r>
      <w:r w:rsidR="00DF568D">
        <w:t>identify</w:t>
      </w:r>
      <w:r w:rsidR="005E6020">
        <w:t xml:space="preserve"> </w:t>
      </w:r>
      <w:r w:rsidR="00704930">
        <w:t xml:space="preserve">the process and </w:t>
      </w:r>
      <w:r w:rsidR="00D16287">
        <w:t xml:space="preserve">to </w:t>
      </w:r>
      <w:r w:rsidR="00704930">
        <w:t xml:space="preserve">stake </w:t>
      </w:r>
      <w:r>
        <w:t>competing</w:t>
      </w:r>
      <w:r w:rsidR="00704930">
        <w:t xml:space="preserve"> claims as fact</w:t>
      </w:r>
      <w:r w:rsidR="00AA4E29">
        <w:t>.</w:t>
      </w:r>
      <w:r w:rsidR="00DF568D">
        <w:t xml:space="preserve"> </w:t>
      </w:r>
    </w:p>
    <w:p w14:paraId="755E0957" w14:textId="5BC5D786" w:rsidR="00A60ACA" w:rsidRDefault="00BF72E4">
      <w:pPr>
        <w:ind w:firstLine="720"/>
      </w:pPr>
      <w:r>
        <w:t>There is no shortage</w:t>
      </w:r>
      <w:r w:rsidR="00A60ACA">
        <w:t xml:space="preserve"> of definitions</w:t>
      </w:r>
      <w:r w:rsidR="009C6755">
        <w:t xml:space="preserve"> </w:t>
      </w:r>
      <w:r w:rsidR="00D66A28">
        <w:t xml:space="preserve">offered </w:t>
      </w:r>
      <w:r>
        <w:t>for</w:t>
      </w:r>
      <w:r w:rsidR="009C6755">
        <w:t xml:space="preserve"> gentrification </w:t>
      </w:r>
      <w:r w:rsidR="0063048F">
        <w:t xml:space="preserve">by </w:t>
      </w:r>
      <w:r w:rsidR="00F109B1">
        <w:t>social scientists, economists,</w:t>
      </w:r>
      <w:r w:rsidR="00D66A28">
        <w:t xml:space="preserve"> urban researchers,</w:t>
      </w:r>
      <w:r w:rsidR="00F109B1">
        <w:t xml:space="preserve"> </w:t>
      </w:r>
      <w:r w:rsidR="003467F5">
        <w:t xml:space="preserve">and </w:t>
      </w:r>
      <w:r w:rsidR="00F109B1">
        <w:t>geographers</w:t>
      </w:r>
      <w:r w:rsidR="00945CFD">
        <w:t xml:space="preserve">. </w:t>
      </w:r>
      <w:r w:rsidR="00F35540">
        <w:t>Many focus on displacement of vulnerable (older, lower-income, less-educated, and minoritized) residents by highly privileged ones (younger, higher-income, more educated, and predominantly white) (Marcuse 1985, Elliott-Cooper et al. 2020</w:t>
      </w:r>
      <w:r w:rsidR="007F3E30">
        <w:t>), whereas others focus more on place</w:t>
      </w:r>
      <w:r w:rsidR="009C6AB2">
        <w:t xml:space="preserve"> than on people</w:t>
      </w:r>
      <w:r w:rsidR="007F3E30">
        <w:t>, and define gentrification to include the transformation of vacant land to residential or commercial use that targets affluent professionals</w:t>
      </w:r>
      <w:r w:rsidR="009C6AB2">
        <w:t xml:space="preserve"> (</w:t>
      </w:r>
      <w:proofErr w:type="spellStart"/>
      <w:r w:rsidR="009C6AB2">
        <w:t>Zuk</w:t>
      </w:r>
      <w:proofErr w:type="spellEnd"/>
      <w:r w:rsidR="009C6AB2">
        <w:t xml:space="preserve"> et al. 2015, Slater 2000)</w:t>
      </w:r>
      <w:r w:rsidR="007F3E30">
        <w:t>.</w:t>
      </w:r>
      <w:r w:rsidR="004122E7">
        <w:t xml:space="preserve"> Operational definitions</w:t>
      </w:r>
      <w:r w:rsidR="00F97DB6">
        <w:t xml:space="preserve"> </w:t>
      </w:r>
      <w:r w:rsidR="00042029">
        <w:t xml:space="preserve">are </w:t>
      </w:r>
      <w:r w:rsidR="004122E7">
        <w:t>similarly diverse</w:t>
      </w:r>
      <w:r w:rsidR="00F3163D">
        <w:t>,</w:t>
      </w:r>
      <w:r w:rsidR="0028248D">
        <w:t xml:space="preserve"> and this diversity makes it difficult to achieve consensus</w:t>
      </w:r>
      <w:r w:rsidR="00F3163D">
        <w:t xml:space="preserve"> </w:t>
      </w:r>
      <w:r w:rsidR="00F97DB6">
        <w:t xml:space="preserve">in identifying which </w:t>
      </w:r>
      <w:r w:rsidR="00F3163D">
        <w:t>neighborhood</w:t>
      </w:r>
      <w:r w:rsidR="00F97DB6">
        <w:t xml:space="preserve">s are </w:t>
      </w:r>
      <w:r w:rsidR="00F3163D">
        <w:t>gentrifying</w:t>
      </w:r>
      <w:r w:rsidR="00F97DB6">
        <w:t xml:space="preserve">, as opposed to those </w:t>
      </w:r>
      <w:r w:rsidR="00F3163D">
        <w:t>undergoing different kind</w:t>
      </w:r>
      <w:r w:rsidR="00F97DB6">
        <w:t>s</w:t>
      </w:r>
      <w:r w:rsidR="00F3163D" w:rsidRPr="001F6FAE">
        <w:t xml:space="preserve"> of </w:t>
      </w:r>
      <w:r w:rsidR="00F3163D">
        <w:lastRenderedPageBreak/>
        <w:t>change (Barton 201</w:t>
      </w:r>
      <w:r w:rsidR="00F97DB6">
        <w:t>6</w:t>
      </w:r>
      <w:r w:rsidR="00F3163D">
        <w:t>)</w:t>
      </w:r>
      <w:r w:rsidR="004122E7">
        <w:t xml:space="preserve">. </w:t>
      </w:r>
      <w:r w:rsidR="00E14872">
        <w:t>Within public discourse, the g</w:t>
      </w:r>
      <w:r w:rsidR="00580348">
        <w:t>entrification</w:t>
      </w:r>
      <w:r w:rsidR="00E14872">
        <w:t xml:space="preserve"> debate is</w:t>
      </w:r>
      <w:r w:rsidR="00580348">
        <w:t xml:space="preserve"> </w:t>
      </w:r>
      <w:r w:rsidR="00E14872">
        <w:t>shaped by</w:t>
      </w:r>
      <w:r w:rsidR="00421F6C">
        <w:t xml:space="preserve"> </w:t>
      </w:r>
      <w:r w:rsidR="00110144">
        <w:t>the</w:t>
      </w:r>
      <w:r w:rsidR="00421F6C">
        <w:t xml:space="preserve"> </w:t>
      </w:r>
      <w:r w:rsidR="00E14872">
        <w:t>unique</w:t>
      </w:r>
      <w:r w:rsidR="00580348">
        <w:t xml:space="preserve"> </w:t>
      </w:r>
      <w:r w:rsidR="006D70BA">
        <w:t>experiences</w:t>
      </w:r>
      <w:r w:rsidR="00110144">
        <w:t xml:space="preserve"> of individuals and the</w:t>
      </w:r>
      <w:r w:rsidR="00421F6C">
        <w:t xml:space="preserve"> </w:t>
      </w:r>
      <w:r w:rsidR="006D70BA">
        <w:t xml:space="preserve">threats or </w:t>
      </w:r>
      <w:r w:rsidR="00110144">
        <w:t xml:space="preserve">perceived </w:t>
      </w:r>
      <w:r w:rsidR="006D70BA">
        <w:t>benefits</w:t>
      </w:r>
      <w:r w:rsidR="00110144">
        <w:t xml:space="preserve"> of the process</w:t>
      </w:r>
      <w:r w:rsidR="00580348">
        <w:t>. Th</w:t>
      </w:r>
      <w:r w:rsidR="008B7AB4">
        <w:t xml:space="preserve">e many </w:t>
      </w:r>
      <w:proofErr w:type="gramStart"/>
      <w:r w:rsidR="008B7AB4">
        <w:t>depictions</w:t>
      </w:r>
      <w:r w:rsidR="00580348">
        <w:t xml:space="preserve"> </w:t>
      </w:r>
      <w:r w:rsidR="00C562F8">
        <w:t xml:space="preserve"> gentrification</w:t>
      </w:r>
      <w:proofErr w:type="gramEnd"/>
      <w:r w:rsidR="00C562F8">
        <w:t xml:space="preserve"> in both research literature and public discourse reflects the richness of the subject, but also </w:t>
      </w:r>
      <w:r w:rsidR="00FA6823">
        <w:t>adds confusion to expert and lay discussions when speakers using different conceptions and definitions can talk past one another</w:t>
      </w:r>
      <w:r w:rsidR="001F6FAE">
        <w:t>.</w:t>
      </w:r>
    </w:p>
    <w:p w14:paraId="20860363" w14:textId="2AAC17B6" w:rsidR="00EC5632" w:rsidRDefault="003163AA" w:rsidP="00F31B01">
      <w:pPr>
        <w:ind w:firstLine="720"/>
      </w:pPr>
      <w:r>
        <w:t xml:space="preserve">We </w:t>
      </w:r>
      <w:r w:rsidR="002B024B">
        <w:t xml:space="preserve">propose </w:t>
      </w:r>
      <w:r w:rsidR="00EE08B3">
        <w:t>that quantitative definitions of gentrification</w:t>
      </w:r>
      <w:r w:rsidR="002B024B">
        <w:t>,</w:t>
      </w:r>
      <w:r w:rsidR="00EE08B3">
        <w:t xml:space="preserve"> based on empirical data about neighborhood change</w:t>
      </w:r>
      <w:r w:rsidR="002B024B">
        <w:t>,</w:t>
      </w:r>
      <w:r w:rsidR="00EE08B3">
        <w:t xml:space="preserve"> may add clarity and consistency to research and the application of research to informing policy and planning</w:t>
      </w:r>
      <w:r w:rsidR="002B024B">
        <w:t xml:space="preserve"> while also </w:t>
      </w:r>
      <w:r w:rsidR="00391ABD">
        <w:t xml:space="preserve">allowing enough flexibility to </w:t>
      </w:r>
      <w:r w:rsidR="002B024B">
        <w:t xml:space="preserve">reflect the </w:t>
      </w:r>
      <w:r w:rsidR="00391ABD">
        <w:t xml:space="preserve">different characteristics that </w:t>
      </w:r>
      <w:r w:rsidR="002B024B">
        <w:t xml:space="preserve">gentrification </w:t>
      </w:r>
      <w:r w:rsidR="00391ABD">
        <w:t xml:space="preserve">exhibits in </w:t>
      </w:r>
      <w:r w:rsidR="002B024B">
        <w:t xml:space="preserve">different </w:t>
      </w:r>
      <w:r w:rsidR="00391ABD">
        <w:t>cities</w:t>
      </w:r>
      <w:r w:rsidR="00EE08B3">
        <w:t xml:space="preserve">. </w:t>
      </w:r>
      <w:r w:rsidR="00391ABD">
        <w:t>T</w:t>
      </w:r>
      <w:r w:rsidR="00EE08B3">
        <w:t>his paper</w:t>
      </w:r>
      <w:r w:rsidR="00391ABD">
        <w:t xml:space="preserve"> </w:t>
      </w:r>
      <w:r w:rsidR="00EE08B3">
        <w:t>present</w:t>
      </w:r>
      <w:r w:rsidR="00391ABD">
        <w:t>s</w:t>
      </w:r>
      <w:r w:rsidR="00EE08B3">
        <w:t xml:space="preserve"> a new data-driven approach to </w:t>
      </w:r>
      <w:r w:rsidR="00E21BCB">
        <w:t xml:space="preserve">operationally </w:t>
      </w:r>
      <w:r w:rsidR="00EE08B3">
        <w:t xml:space="preserve">defining, identifying, and measuring gentrification.  </w:t>
      </w:r>
    </w:p>
    <w:p w14:paraId="7858054E" w14:textId="3CEC14C1" w:rsidR="00994DA2" w:rsidRDefault="005D1465" w:rsidP="00F4661A">
      <w:pPr>
        <w:ind w:firstLine="720"/>
      </w:pPr>
      <w:r>
        <w:t xml:space="preserve">The displacement of vulnerable residents by powerful and privileged ones, and </w:t>
      </w:r>
      <w:r w:rsidR="0021393D">
        <w:t xml:space="preserve">associated </w:t>
      </w:r>
      <w:r>
        <w:t>conflict between longtime residents and newcomers, are central to many definitions of gentrification</w:t>
      </w:r>
      <w:r w:rsidR="0073579E">
        <w:t xml:space="preserve"> (Slater</w:t>
      </w:r>
      <w:r w:rsidR="003228B2">
        <w:t xml:space="preserve"> </w:t>
      </w:r>
      <w:proofErr w:type="spellStart"/>
      <w:r w:rsidR="003228B2">
        <w:t>xxxx</w:t>
      </w:r>
      <w:proofErr w:type="spellEnd"/>
      <w:r w:rsidR="003228B2">
        <w:t xml:space="preserve">, Marcuse </w:t>
      </w:r>
      <w:proofErr w:type="spellStart"/>
      <w:r w:rsidR="003228B2">
        <w:t>xxxx</w:t>
      </w:r>
      <w:proofErr w:type="spellEnd"/>
      <w:r>
        <w:t>.</w:t>
      </w:r>
      <w:r w:rsidR="003228B2">
        <w:t>)</w:t>
      </w:r>
      <w:r>
        <w:t xml:space="preserve"> </w:t>
      </w:r>
      <w:r w:rsidR="00C23CB2">
        <w:t xml:space="preserve">Atkinson (2004) </w:t>
      </w:r>
      <w:proofErr w:type="gramStart"/>
      <w:r w:rsidR="00C23CB2">
        <w:t xml:space="preserve">states </w:t>
      </w:r>
      <w:r w:rsidR="00C23CB2" w:rsidRPr="001F6FAE">
        <w:t>”</w:t>
      </w:r>
      <w:proofErr w:type="gramEnd"/>
      <w:r w:rsidR="005C4ADF" w:rsidRPr="001F6FAE">
        <w:t>.</w:t>
      </w:r>
      <w:r w:rsidR="00C23CB2" w:rsidRPr="001F6FAE">
        <w:t>.. the term gentrification is predicated on displacement and community conflict.</w:t>
      </w:r>
      <w:r w:rsidR="00C23CB2" w:rsidRPr="00E05599">
        <w:t>”</w:t>
      </w:r>
      <w:r w:rsidR="00EF266B">
        <w:t xml:space="preserve"> </w:t>
      </w:r>
      <w:r w:rsidR="00F109B1">
        <w:t xml:space="preserve">However, </w:t>
      </w:r>
      <w:r w:rsidR="0021393D" w:rsidRPr="001F6FAE">
        <w:t>other</w:t>
      </w:r>
      <w:r w:rsidR="0021393D" w:rsidRPr="00400709">
        <w:t xml:space="preserve"> researchers</w:t>
      </w:r>
      <w:r w:rsidR="001477C7">
        <w:t xml:space="preserve"> </w:t>
      </w:r>
      <w:r w:rsidR="003148CC">
        <w:t xml:space="preserve">(Freeman and </w:t>
      </w:r>
      <w:proofErr w:type="spellStart"/>
      <w:r w:rsidR="003148CC">
        <w:t>Braconi</w:t>
      </w:r>
      <w:proofErr w:type="spellEnd"/>
      <w:r w:rsidR="003148CC">
        <w:t xml:space="preserve"> </w:t>
      </w:r>
      <w:proofErr w:type="gramStart"/>
      <w:r w:rsidR="003148CC">
        <w:t xml:space="preserve">2004;  </w:t>
      </w:r>
      <w:proofErr w:type="spellStart"/>
      <w:r w:rsidR="00DF05F6">
        <w:t>Vigdor</w:t>
      </w:r>
      <w:proofErr w:type="spellEnd"/>
      <w:proofErr w:type="gramEnd"/>
      <w:r w:rsidR="00DF05F6">
        <w:t xml:space="preserve"> 2002</w:t>
      </w:r>
      <w:r w:rsidR="004B5B9C">
        <w:t>, Hamnet 2009</w:t>
      </w:r>
      <w:r w:rsidR="003148CC">
        <w:t>)</w:t>
      </w:r>
      <w:r w:rsidR="00DF05F6">
        <w:t xml:space="preserve"> </w:t>
      </w:r>
      <w:r w:rsidR="003148CC">
        <w:t>avoid the distinction that</w:t>
      </w:r>
      <w:r w:rsidR="0021393D">
        <w:t xml:space="preserve"> </w:t>
      </w:r>
      <w:r w:rsidR="00EC5632">
        <w:t xml:space="preserve">gentrification is </w:t>
      </w:r>
      <w:r w:rsidR="003148CC">
        <w:t>predicated on</w:t>
      </w:r>
      <w:r w:rsidR="00EC5632">
        <w:t xml:space="preserve"> displacement</w:t>
      </w:r>
      <w:r w:rsidR="00F4661A">
        <w:t xml:space="preserve">. From this perspective, </w:t>
      </w:r>
      <w:r w:rsidR="00E05599">
        <w:t>a crucial question is, “</w:t>
      </w:r>
      <w:r w:rsidR="00E05599" w:rsidRPr="00E05599">
        <w:t>d</w:t>
      </w:r>
      <w:r w:rsidR="00140694" w:rsidRPr="00E05599">
        <w:t>oes</w:t>
      </w:r>
      <w:r w:rsidR="00140694" w:rsidRPr="001F6FAE">
        <w:t xml:space="preserve"> gentrification cause displacement</w:t>
      </w:r>
      <w:r w:rsidR="00140694" w:rsidRPr="00E05599">
        <w:t>?</w:t>
      </w:r>
      <w:r w:rsidR="00E05599">
        <w:t>”</w:t>
      </w:r>
      <w:r w:rsidR="00140694">
        <w:t xml:space="preserve"> </w:t>
      </w:r>
      <w:r w:rsidR="00F4661A">
        <w:t xml:space="preserve">In this paper, we </w:t>
      </w:r>
      <w:r w:rsidR="00A543D1">
        <w:t xml:space="preserve">take displacement as an essential characteristic of gentrification and one that plays an important role in differentiating gentrification from other types of change. We </w:t>
      </w:r>
      <w:r w:rsidR="007E51DE">
        <w:t xml:space="preserve">understand gentrification as </w:t>
      </w:r>
      <w:r w:rsidR="003505B0">
        <w:t xml:space="preserve">an evolving spatial and temporal process associated with the movement of </w:t>
      </w:r>
      <w:r w:rsidR="00B5307D">
        <w:t xml:space="preserve">both </w:t>
      </w:r>
      <w:r w:rsidR="003505B0">
        <w:t>people and capital</w:t>
      </w:r>
      <w:r w:rsidR="00A543D1">
        <w:t xml:space="preserve">, that entails </w:t>
      </w:r>
      <w:r w:rsidR="003505B0">
        <w:t>a sustained period of disinvestment, followed by an influx of investment and wealthier residents that results in the displacement of existing residents.</w:t>
      </w:r>
    </w:p>
    <w:p w14:paraId="76D021EA" w14:textId="3ACC082F" w:rsidR="00C77591" w:rsidRDefault="00C77591" w:rsidP="00102A44">
      <w:pPr>
        <w:ind w:firstLine="720"/>
      </w:pPr>
      <w:r>
        <w:t xml:space="preserve">Figure 1 </w:t>
      </w:r>
      <w:r w:rsidR="00F93743">
        <w:t xml:space="preserve">illustrates the </w:t>
      </w:r>
      <w:r w:rsidR="00A2732F">
        <w:t xml:space="preserve">process of differentiating </w:t>
      </w:r>
      <w:r>
        <w:t>gentrification</w:t>
      </w:r>
      <w:r w:rsidR="00A138F1">
        <w:t xml:space="preserve"> </w:t>
      </w:r>
      <w:r w:rsidR="00D420AD">
        <w:t xml:space="preserve">from </w:t>
      </w:r>
      <w:r w:rsidR="00F93743">
        <w:t xml:space="preserve">revitalization. </w:t>
      </w:r>
      <w:r w:rsidR="009D0FD2">
        <w:t xml:space="preserve">Both </w:t>
      </w:r>
      <w:r w:rsidR="00A2732F">
        <w:t xml:space="preserve">kinds of </w:t>
      </w:r>
      <w:r w:rsidR="009D0FD2">
        <w:t xml:space="preserve">neighborhood change </w:t>
      </w:r>
      <w:r w:rsidR="00F03D7D">
        <w:t xml:space="preserve">entail investment and improvements to amenities, infrastructure, and homes; </w:t>
      </w:r>
      <w:r w:rsidR="009D0FD2">
        <w:t>however</w:t>
      </w:r>
      <w:r w:rsidR="005C4ADF">
        <w:t>,</w:t>
      </w:r>
      <w:r w:rsidR="009D0FD2">
        <w:t xml:space="preserve"> revitalization </w:t>
      </w:r>
      <w:r w:rsidR="00212FC6">
        <w:t xml:space="preserve">benefits </w:t>
      </w:r>
      <w:r w:rsidR="009D0FD2">
        <w:t xml:space="preserve">existing </w:t>
      </w:r>
      <w:r w:rsidR="007A0573">
        <w:t>residents</w:t>
      </w:r>
      <w:r w:rsidR="001876D5">
        <w:t xml:space="preserve">, draws </w:t>
      </w:r>
      <w:r w:rsidR="00212FC6">
        <w:t xml:space="preserve">upon their </w:t>
      </w:r>
      <w:r w:rsidR="009D0FD2">
        <w:t>capacity to stay</w:t>
      </w:r>
      <w:r w:rsidR="001876D5">
        <w:t>,</w:t>
      </w:r>
      <w:r w:rsidR="009D0FD2">
        <w:t xml:space="preserve"> and is considered </w:t>
      </w:r>
      <w:r w:rsidR="0056706B">
        <w:t xml:space="preserve">desirable by </w:t>
      </w:r>
      <w:r w:rsidR="00062BC4">
        <w:t xml:space="preserve">many </w:t>
      </w:r>
      <w:r w:rsidR="009D0FD2">
        <w:t xml:space="preserve">communities and city-planners. </w:t>
      </w:r>
      <w:r>
        <w:t xml:space="preserve">Thus, we refer to gentrification without displacement </w:t>
      </w:r>
      <w:r w:rsidR="007A0573">
        <w:t xml:space="preserve">simply </w:t>
      </w:r>
      <w:r>
        <w:t>as revitalization</w:t>
      </w:r>
      <w:r w:rsidR="00062BC4">
        <w:t xml:space="preserve">, </w:t>
      </w:r>
      <w:proofErr w:type="gramStart"/>
      <w:r w:rsidR="00062BC4">
        <w:t>in order to</w:t>
      </w:r>
      <w:proofErr w:type="gramEnd"/>
      <w:r w:rsidR="00062BC4">
        <w:t xml:space="preserve"> avoid confusion around the </w:t>
      </w:r>
      <w:r w:rsidR="007A0573">
        <w:t>theoretical</w:t>
      </w:r>
      <w:r w:rsidR="00351660">
        <w:t xml:space="preserve"> </w:t>
      </w:r>
      <w:r w:rsidR="00062BC4">
        <w:t xml:space="preserve">quandaries over the role of displacement in </w:t>
      </w:r>
      <w:r w:rsidR="00351660">
        <w:t>gentrification</w:t>
      </w:r>
      <w:r w:rsidR="00062BC4">
        <w:t xml:space="preserve"> </w:t>
      </w:r>
      <w:r>
        <w:t xml:space="preserve">(Clay, 1979; </w:t>
      </w:r>
      <w:proofErr w:type="spellStart"/>
      <w:r>
        <w:t>Zuk</w:t>
      </w:r>
      <w:proofErr w:type="spellEnd"/>
      <w:r>
        <w:t xml:space="preserve"> et al., 2015).</w:t>
      </w:r>
      <w:r w:rsidR="00102A44">
        <w:t xml:space="preserve"> </w:t>
      </w:r>
      <w:r w:rsidR="00062BC4">
        <w:t xml:space="preserve">Others express similar views: </w:t>
      </w:r>
      <w:r w:rsidR="00102A44">
        <w:t xml:space="preserve">Halle and Tiso (2014) </w:t>
      </w:r>
      <w:r w:rsidR="00062BC4">
        <w:t>propose</w:t>
      </w:r>
      <w:r w:rsidR="004B5B9C">
        <w:t xml:space="preserve"> </w:t>
      </w:r>
      <w:r w:rsidR="00102A44">
        <w:t>that gentrification is used “</w:t>
      </w:r>
      <w:r w:rsidR="00102A44" w:rsidRPr="00C23CB2">
        <w:rPr>
          <w:i/>
          <w:iCs/>
        </w:rPr>
        <w:t>very loosely,</w:t>
      </w:r>
      <w:r w:rsidR="00C23CB2" w:rsidRPr="00C23CB2">
        <w:rPr>
          <w:i/>
          <w:iCs/>
        </w:rPr>
        <w:t xml:space="preserve"> </w:t>
      </w:r>
      <w:r w:rsidR="00102A44" w:rsidRPr="00C23CB2">
        <w:rPr>
          <w:i/>
          <w:iCs/>
        </w:rPr>
        <w:t>conflating several issues that should be considered separately.</w:t>
      </w:r>
      <w:r w:rsidR="00102A44">
        <w:t xml:space="preserve">” Stern and Seifert (2007) </w:t>
      </w:r>
      <w:r w:rsidR="00062BC4">
        <w:t xml:space="preserve">contend </w:t>
      </w:r>
      <w:r w:rsidR="00102A44">
        <w:t xml:space="preserve">that </w:t>
      </w:r>
      <w:proofErr w:type="gramStart"/>
      <w:r w:rsidR="00102A44">
        <w:t>“..</w:t>
      </w:r>
      <w:proofErr w:type="gramEnd"/>
      <w:r w:rsidR="00102A44" w:rsidRPr="00C23CB2">
        <w:rPr>
          <w:i/>
          <w:iCs/>
        </w:rPr>
        <w:t>if we see neighborhood revitalization as desirable, we cannot afford to label all population change as gentrification</w:t>
      </w:r>
      <w:r w:rsidR="00102A44">
        <w:t xml:space="preserve">.” </w:t>
      </w:r>
    </w:p>
    <w:p w14:paraId="5080AF27" w14:textId="6E3EB621" w:rsidR="00994DA2" w:rsidRDefault="00D147F0" w:rsidP="00994DA2">
      <w:pPr>
        <w:ind w:firstLine="720"/>
        <w:jc w:val="center"/>
      </w:pPr>
      <w:r>
        <w:rPr>
          <w:rFonts w:ascii="Calibri" w:hAnsi="Calibri" w:cs="Calibri"/>
          <w:noProof/>
          <w:color w:val="000000"/>
        </w:rPr>
        <w:lastRenderedPageBreak/>
        <w:drawing>
          <wp:inline distT="0" distB="0" distL="0" distR="0" wp14:anchorId="76DE0519" wp14:editId="3E768CB0">
            <wp:extent cx="2487295" cy="3859394"/>
            <wp:effectExtent l="0" t="0" r="8255" b="825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92952" cy="3868171"/>
                    </a:xfrm>
                    <a:prstGeom prst="rect">
                      <a:avLst/>
                    </a:prstGeom>
                    <a:noFill/>
                    <a:ln>
                      <a:noFill/>
                    </a:ln>
                  </pic:spPr>
                </pic:pic>
              </a:graphicData>
            </a:graphic>
          </wp:inline>
        </w:drawing>
      </w:r>
    </w:p>
    <w:p w14:paraId="366A5FAD" w14:textId="3CD8F26C" w:rsidR="00994DA2" w:rsidRPr="009E185D" w:rsidRDefault="00994DA2" w:rsidP="00994DA2">
      <w:pPr>
        <w:ind w:firstLine="720"/>
        <w:jc w:val="center"/>
        <w:rPr>
          <w:i/>
          <w:iCs/>
          <w:sz w:val="20"/>
          <w:szCs w:val="20"/>
        </w:rPr>
      </w:pPr>
      <w:r w:rsidRPr="009E185D">
        <w:rPr>
          <w:i/>
          <w:iCs/>
          <w:sz w:val="20"/>
          <w:szCs w:val="20"/>
        </w:rPr>
        <w:t xml:space="preserve">Figure 1. </w:t>
      </w:r>
      <w:r w:rsidR="00F31B01" w:rsidRPr="009E185D">
        <w:rPr>
          <w:i/>
          <w:iCs/>
          <w:sz w:val="20"/>
          <w:szCs w:val="20"/>
        </w:rPr>
        <w:t xml:space="preserve">Conceptual Diagram Distinguishing Gentrification Apart from Revitalization </w:t>
      </w:r>
    </w:p>
    <w:p w14:paraId="1F37BD15" w14:textId="4925683B" w:rsidR="00994DA2" w:rsidRDefault="00994DA2" w:rsidP="0061388F">
      <w:pPr>
        <w:ind w:firstLine="720"/>
      </w:pPr>
      <w:r>
        <w:t xml:space="preserve">Our conceptual framework for gentrification </w:t>
      </w:r>
      <w:r w:rsidR="00062BC4">
        <w:t xml:space="preserve">answers </w:t>
      </w:r>
      <w:proofErr w:type="spellStart"/>
      <w:r>
        <w:t>Lees</w:t>
      </w:r>
      <w:r w:rsidR="00062BC4">
        <w:t>’s</w:t>
      </w:r>
      <w:proofErr w:type="spellEnd"/>
      <w:r>
        <w:t xml:space="preserve"> (2007) call for a “</w:t>
      </w:r>
      <w:r w:rsidRPr="00994DA2">
        <w:rPr>
          <w:i/>
          <w:iCs/>
        </w:rPr>
        <w:t xml:space="preserve">more </w:t>
      </w:r>
      <w:proofErr w:type="gramStart"/>
      <w:r w:rsidRPr="00994DA2">
        <w:rPr>
          <w:i/>
          <w:iCs/>
        </w:rPr>
        <w:t>fine grained</w:t>
      </w:r>
      <w:proofErr w:type="gramEnd"/>
      <w:r w:rsidRPr="00994DA2">
        <w:rPr>
          <w:i/>
          <w:iCs/>
        </w:rPr>
        <w:t xml:space="preserve"> approach in gentrification research, one that is both more specific and more general</w:t>
      </w:r>
      <w:r>
        <w:t>”.</w:t>
      </w:r>
      <w:r w:rsidR="003275A3">
        <w:rPr>
          <w:rStyle w:val="FootnoteReference"/>
        </w:rPr>
        <w:footnoteReference w:id="2"/>
      </w:r>
      <w:r w:rsidR="00CA343A">
        <w:t xml:space="preserve"> </w:t>
      </w:r>
      <w:r>
        <w:t xml:space="preserve">The conceptual definition advanced here is more specific by requiring the displacement of existing residents, and more general, in that it attributes the social and cultural changes to a broad class of measurable </w:t>
      </w:r>
      <w:r w:rsidR="00062BC4">
        <w:t>patterns in demographic and economic change</w:t>
      </w:r>
      <w:r>
        <w:t xml:space="preserve">. Displacement </w:t>
      </w:r>
      <w:r w:rsidR="00B47AF6">
        <w:t xml:space="preserve">presents specific challenges </w:t>
      </w:r>
      <w:r w:rsidR="00062BC4">
        <w:t xml:space="preserve">to data collection and analysis, </w:t>
      </w:r>
      <w:r w:rsidR="00B47AF6">
        <w:t xml:space="preserve">but </w:t>
      </w:r>
      <w:r>
        <w:t>population flows</w:t>
      </w:r>
      <w:r w:rsidR="00062BC4">
        <w:t xml:space="preserve">, stratified by </w:t>
      </w:r>
      <w:r>
        <w:t>race, income levels</w:t>
      </w:r>
      <w:r w:rsidR="00062BC4">
        <w:t>,</w:t>
      </w:r>
      <w:r>
        <w:t xml:space="preserve"> and educational attainment</w:t>
      </w:r>
      <w:r w:rsidR="00062BC4">
        <w:t>, can serve as useful proxies</w:t>
      </w:r>
      <w:r>
        <w:t xml:space="preserve">. Likewise, investments and disinvestments are </w:t>
      </w:r>
      <w:r w:rsidR="00F109B1">
        <w:t xml:space="preserve">more directly </w:t>
      </w:r>
      <w:r w:rsidR="0018470D">
        <w:t>captured</w:t>
      </w:r>
      <w:r>
        <w:t xml:space="preserve"> in home/rent values, human capital (education), public amenities, businesses, and various other </w:t>
      </w:r>
      <w:r w:rsidR="0018470D">
        <w:t>socioeconomic</w:t>
      </w:r>
      <w:r>
        <w:t xml:space="preserve"> </w:t>
      </w:r>
      <w:r w:rsidR="0018470D">
        <w:t>variables</w:t>
      </w:r>
      <w:r>
        <w:t xml:space="preserve">. </w:t>
      </w:r>
    </w:p>
    <w:p w14:paraId="54982AA2" w14:textId="23A6B632" w:rsidR="004D2CB5" w:rsidRDefault="004D2CB5" w:rsidP="003275A3">
      <w:pPr>
        <w:ind w:firstLine="720"/>
        <w:rPr>
          <w:rFonts w:ascii="Calibri" w:hAnsi="Calibri" w:cs="Calibri"/>
          <w:color w:val="000000"/>
        </w:rPr>
      </w:pPr>
    </w:p>
    <w:p w14:paraId="10933A3A" w14:textId="56D833BD" w:rsidR="00830639" w:rsidRDefault="00830639" w:rsidP="003275A3">
      <w:pPr>
        <w:ind w:firstLine="720"/>
        <w:rPr>
          <w:rFonts w:ascii="Calibri" w:hAnsi="Calibri" w:cs="Calibri"/>
          <w:color w:val="000000"/>
        </w:rPr>
      </w:pPr>
      <w:r>
        <w:rPr>
          <w:rFonts w:ascii="Calibri" w:hAnsi="Calibri" w:cs="Calibri"/>
          <w:color w:val="000000"/>
        </w:rPr>
        <w:t xml:space="preserve">Drawing upon this theoretical background, we develop a data-driven approach to identifying gentrification, which maintains conceptual coherence with a focus on displacement of minoritized and other socio-economically vulnerable groups by white, affluent, </w:t>
      </w:r>
      <w:proofErr w:type="gramStart"/>
      <w:r>
        <w:rPr>
          <w:rFonts w:ascii="Calibri" w:hAnsi="Calibri" w:cs="Calibri"/>
          <w:color w:val="000000"/>
        </w:rPr>
        <w:t>highly-educated</w:t>
      </w:r>
      <w:proofErr w:type="gramEnd"/>
      <w:r>
        <w:rPr>
          <w:rFonts w:ascii="Calibri" w:hAnsi="Calibri" w:cs="Calibri"/>
          <w:color w:val="000000"/>
        </w:rPr>
        <w:t xml:space="preserve"> ones</w:t>
      </w:r>
      <w:r w:rsidR="005D59BE">
        <w:rPr>
          <w:rFonts w:ascii="Calibri" w:hAnsi="Calibri" w:cs="Calibri"/>
          <w:color w:val="000000"/>
        </w:rPr>
        <w:t xml:space="preserve">. This approach balances the </w:t>
      </w:r>
      <w:r w:rsidR="00384808">
        <w:rPr>
          <w:rFonts w:ascii="Calibri" w:hAnsi="Calibri" w:cs="Calibri"/>
          <w:color w:val="000000"/>
        </w:rPr>
        <w:t xml:space="preserve">conceptual </w:t>
      </w:r>
      <w:r w:rsidR="005D59BE">
        <w:rPr>
          <w:rFonts w:ascii="Calibri" w:hAnsi="Calibri" w:cs="Calibri"/>
          <w:color w:val="000000"/>
        </w:rPr>
        <w:t>specificity lacking from prior efforts to identify gentrification with</w:t>
      </w:r>
      <w:r>
        <w:rPr>
          <w:rFonts w:ascii="Calibri" w:hAnsi="Calibri" w:cs="Calibri"/>
          <w:color w:val="000000"/>
        </w:rPr>
        <w:t xml:space="preserve"> the </w:t>
      </w:r>
      <w:r w:rsidR="00384808">
        <w:rPr>
          <w:rFonts w:ascii="Calibri" w:hAnsi="Calibri" w:cs="Calibri"/>
          <w:color w:val="000000"/>
        </w:rPr>
        <w:lastRenderedPageBreak/>
        <w:t xml:space="preserve">quantitative </w:t>
      </w:r>
      <w:r>
        <w:rPr>
          <w:rFonts w:ascii="Calibri" w:hAnsi="Calibri" w:cs="Calibri"/>
          <w:color w:val="000000"/>
        </w:rPr>
        <w:t xml:space="preserve">flexibility to identify </w:t>
      </w:r>
      <w:r w:rsidR="005D59BE">
        <w:rPr>
          <w:rFonts w:ascii="Calibri" w:hAnsi="Calibri" w:cs="Calibri"/>
          <w:color w:val="000000"/>
        </w:rPr>
        <w:t xml:space="preserve">gentrification apart from other types of </w:t>
      </w:r>
      <w:proofErr w:type="gramStart"/>
      <w:r w:rsidR="005D59BE">
        <w:rPr>
          <w:rFonts w:ascii="Calibri" w:hAnsi="Calibri" w:cs="Calibri"/>
          <w:color w:val="000000"/>
        </w:rPr>
        <w:t>neighborhood</w:t>
      </w:r>
      <w:proofErr w:type="gramEnd"/>
      <w:r w:rsidR="005D59BE">
        <w:rPr>
          <w:rFonts w:ascii="Calibri" w:hAnsi="Calibri" w:cs="Calibri"/>
          <w:color w:val="000000"/>
        </w:rPr>
        <w:t xml:space="preserve"> change within a defined time and place</w:t>
      </w:r>
      <w:r>
        <w:rPr>
          <w:rFonts w:ascii="Calibri" w:hAnsi="Calibri" w:cs="Calibri"/>
          <w:color w:val="000000"/>
        </w:rPr>
        <w:t>.</w:t>
      </w:r>
    </w:p>
    <w:p w14:paraId="1B0BC561" w14:textId="493A172E" w:rsidR="00400B7C" w:rsidRPr="00400B7C" w:rsidRDefault="00400B7C" w:rsidP="004D2CB5">
      <w:pPr>
        <w:pStyle w:val="Heading2"/>
      </w:pPr>
      <w:r w:rsidRPr="00400B7C">
        <w:t xml:space="preserve">Quantifying Gentrification </w:t>
      </w:r>
    </w:p>
    <w:p w14:paraId="2E0B0228" w14:textId="2BEB2E99" w:rsidR="007F75E0" w:rsidRDefault="00663044" w:rsidP="00063D26">
      <w:pPr>
        <w:ind w:firstLine="720"/>
        <w:rPr>
          <w:rFonts w:ascii="Calibri" w:hAnsi="Calibri" w:cs="Calibri"/>
          <w:color w:val="000000"/>
        </w:rPr>
      </w:pPr>
      <w:r>
        <w:rPr>
          <w:rFonts w:ascii="Calibri" w:hAnsi="Calibri" w:cs="Calibri"/>
          <w:color w:val="000000"/>
        </w:rPr>
        <w:t xml:space="preserve">The </w:t>
      </w:r>
      <w:r w:rsidR="000B57A7">
        <w:rPr>
          <w:rFonts w:ascii="Calibri" w:hAnsi="Calibri" w:cs="Calibri"/>
          <w:color w:val="000000"/>
        </w:rPr>
        <w:t xml:space="preserve">quantitative </w:t>
      </w:r>
      <w:r>
        <w:rPr>
          <w:rFonts w:ascii="Calibri" w:hAnsi="Calibri" w:cs="Calibri"/>
          <w:color w:val="000000"/>
        </w:rPr>
        <w:t xml:space="preserve">methods used to identify gentrification apart from other </w:t>
      </w:r>
      <w:r w:rsidR="000B57A7">
        <w:rPr>
          <w:rFonts w:ascii="Calibri" w:hAnsi="Calibri" w:cs="Calibri"/>
          <w:color w:val="000000"/>
        </w:rPr>
        <w:t xml:space="preserve">neighborhood change </w:t>
      </w:r>
      <w:r>
        <w:rPr>
          <w:rFonts w:ascii="Calibri" w:hAnsi="Calibri" w:cs="Calibri"/>
          <w:color w:val="000000"/>
        </w:rPr>
        <w:t>trajectories have</w:t>
      </w:r>
      <w:r w:rsidR="000B57A7">
        <w:rPr>
          <w:rFonts w:ascii="Calibri" w:hAnsi="Calibri" w:cs="Calibri"/>
          <w:color w:val="000000"/>
        </w:rPr>
        <w:t>,</w:t>
      </w:r>
      <w:r>
        <w:rPr>
          <w:rFonts w:ascii="Calibri" w:hAnsi="Calibri" w:cs="Calibri"/>
          <w:color w:val="000000"/>
        </w:rPr>
        <w:t xml:space="preserve"> </w:t>
      </w:r>
      <w:r w:rsidR="000B57A7">
        <w:rPr>
          <w:rFonts w:ascii="Calibri" w:hAnsi="Calibri" w:cs="Calibri"/>
          <w:color w:val="000000"/>
        </w:rPr>
        <w:t>at best,</w:t>
      </w:r>
      <w:r>
        <w:rPr>
          <w:rFonts w:ascii="Calibri" w:hAnsi="Calibri" w:cs="Calibri"/>
          <w:color w:val="000000"/>
        </w:rPr>
        <w:t xml:space="preserve"> failed to </w:t>
      </w:r>
      <w:r w:rsidR="000B57A7">
        <w:rPr>
          <w:rFonts w:ascii="Calibri" w:hAnsi="Calibri" w:cs="Calibri"/>
          <w:color w:val="000000"/>
        </w:rPr>
        <w:t xml:space="preserve">reach any form of consensus, and at worst been used as self-serving tools to crystalize competing worldviews.  </w:t>
      </w:r>
      <w:r w:rsidR="00E504BC">
        <w:rPr>
          <w:rFonts w:ascii="Calibri" w:hAnsi="Calibri" w:cs="Calibri"/>
          <w:color w:val="000000"/>
        </w:rPr>
        <w:t>Gentrification</w:t>
      </w:r>
      <w:r w:rsidR="006F60A2">
        <w:rPr>
          <w:rFonts w:ascii="Calibri" w:hAnsi="Calibri" w:cs="Calibri"/>
          <w:color w:val="000000"/>
        </w:rPr>
        <w:t xml:space="preserve"> r</w:t>
      </w:r>
      <w:r w:rsidR="00400B7C" w:rsidRPr="00400B7C">
        <w:rPr>
          <w:rFonts w:ascii="Calibri" w:hAnsi="Calibri" w:cs="Calibri"/>
          <w:color w:val="000000"/>
        </w:rPr>
        <w:t xml:space="preserve">esearch </w:t>
      </w:r>
      <w:r w:rsidR="009B6EE1">
        <w:rPr>
          <w:rFonts w:ascii="Calibri" w:hAnsi="Calibri" w:cs="Calibri"/>
          <w:color w:val="000000"/>
        </w:rPr>
        <w:t>bypassed</w:t>
      </w:r>
      <w:r w:rsidR="00400B7C" w:rsidRPr="00400B7C">
        <w:rPr>
          <w:rFonts w:ascii="Calibri" w:hAnsi="Calibri" w:cs="Calibri"/>
          <w:color w:val="000000"/>
        </w:rPr>
        <w:t xml:space="preserve"> </w:t>
      </w:r>
      <w:r w:rsidR="004D2CB5">
        <w:rPr>
          <w:rFonts w:ascii="Calibri" w:hAnsi="Calibri" w:cs="Calibri"/>
          <w:color w:val="000000"/>
        </w:rPr>
        <w:t>initial</w:t>
      </w:r>
      <w:r w:rsidR="00BE612D">
        <w:rPr>
          <w:rFonts w:ascii="Calibri" w:hAnsi="Calibri" w:cs="Calibri"/>
          <w:color w:val="000000"/>
        </w:rPr>
        <w:t xml:space="preserve"> </w:t>
      </w:r>
      <w:r w:rsidR="00400B7C" w:rsidRPr="00400B7C">
        <w:rPr>
          <w:rFonts w:ascii="Calibri" w:hAnsi="Calibri" w:cs="Calibri"/>
          <w:color w:val="000000"/>
        </w:rPr>
        <w:t xml:space="preserve">red flags when translating </w:t>
      </w:r>
      <w:r w:rsidR="00417194">
        <w:rPr>
          <w:rFonts w:ascii="Calibri" w:hAnsi="Calibri" w:cs="Calibri"/>
          <w:color w:val="000000"/>
        </w:rPr>
        <w:t xml:space="preserve">Glass’ observations </w:t>
      </w:r>
      <w:r w:rsidR="00400B7C" w:rsidRPr="00400B7C">
        <w:rPr>
          <w:rFonts w:ascii="Calibri" w:hAnsi="Calibri" w:cs="Calibri"/>
          <w:color w:val="000000"/>
        </w:rPr>
        <w:t xml:space="preserve">to a measurable process. </w:t>
      </w:r>
      <w:r w:rsidR="001641FF">
        <w:rPr>
          <w:rFonts w:ascii="Calibri" w:hAnsi="Calibri" w:cs="Calibri"/>
          <w:color w:val="000000"/>
        </w:rPr>
        <w:t>A</w:t>
      </w:r>
      <w:r w:rsidR="008F2FD3">
        <w:rPr>
          <w:rFonts w:ascii="Calibri" w:hAnsi="Calibri" w:cs="Calibri"/>
          <w:color w:val="000000"/>
        </w:rPr>
        <w:t xml:space="preserve">n </w:t>
      </w:r>
      <w:r w:rsidR="00A95B15">
        <w:rPr>
          <w:rFonts w:ascii="Calibri" w:hAnsi="Calibri" w:cs="Calibri"/>
          <w:color w:val="000000"/>
        </w:rPr>
        <w:t xml:space="preserve">early </w:t>
      </w:r>
      <w:r w:rsidR="00400B7C" w:rsidRPr="00400B7C">
        <w:rPr>
          <w:rFonts w:ascii="Calibri" w:hAnsi="Calibri" w:cs="Calibri"/>
          <w:color w:val="000000"/>
        </w:rPr>
        <w:t>warning</w:t>
      </w:r>
      <w:r w:rsidR="0017163C">
        <w:rPr>
          <w:rFonts w:ascii="Calibri" w:hAnsi="Calibri" w:cs="Calibri"/>
          <w:color w:val="000000"/>
        </w:rPr>
        <w:t xml:space="preserve"> by </w:t>
      </w:r>
      <w:proofErr w:type="spellStart"/>
      <w:r w:rsidR="0017163C">
        <w:rPr>
          <w:rFonts w:ascii="Calibri" w:hAnsi="Calibri" w:cs="Calibri"/>
          <w:color w:val="000000"/>
        </w:rPr>
        <w:t>Gal</w:t>
      </w:r>
      <w:r w:rsidR="008F2FD3">
        <w:rPr>
          <w:rFonts w:ascii="Calibri" w:hAnsi="Calibri" w:cs="Calibri"/>
          <w:color w:val="000000"/>
        </w:rPr>
        <w:t>s</w:t>
      </w:r>
      <w:r w:rsidR="0017163C">
        <w:rPr>
          <w:rFonts w:ascii="Calibri" w:hAnsi="Calibri" w:cs="Calibri"/>
          <w:color w:val="000000"/>
        </w:rPr>
        <w:t>ter</w:t>
      </w:r>
      <w:proofErr w:type="spellEnd"/>
      <w:r w:rsidR="0017163C">
        <w:rPr>
          <w:rFonts w:ascii="Calibri" w:hAnsi="Calibri" w:cs="Calibri"/>
          <w:color w:val="000000"/>
        </w:rPr>
        <w:t xml:space="preserve"> and Peacock (1986)</w:t>
      </w:r>
      <w:r w:rsidR="00400B7C" w:rsidRPr="00400B7C">
        <w:rPr>
          <w:rFonts w:ascii="Calibri" w:hAnsi="Calibri" w:cs="Calibri"/>
          <w:color w:val="000000"/>
        </w:rPr>
        <w:t xml:space="preserve"> state</w:t>
      </w:r>
      <w:r w:rsidR="001641FF">
        <w:rPr>
          <w:rFonts w:ascii="Calibri" w:hAnsi="Calibri" w:cs="Calibri"/>
          <w:color w:val="000000"/>
        </w:rPr>
        <w:t>d</w:t>
      </w:r>
      <w:r w:rsidR="00400B7C" w:rsidRPr="00400B7C">
        <w:rPr>
          <w:rFonts w:ascii="Calibri" w:hAnsi="Calibri" w:cs="Calibri"/>
          <w:color w:val="000000"/>
        </w:rPr>
        <w:t xml:space="preserve">: </w:t>
      </w:r>
    </w:p>
    <w:p w14:paraId="68E140F7" w14:textId="29844F5D" w:rsidR="00417194" w:rsidRDefault="00AC0636" w:rsidP="00F109B1">
      <w:pPr>
        <w:ind w:left="720"/>
        <w:rPr>
          <w:rFonts w:ascii="Calibri" w:hAnsi="Calibri" w:cs="Calibri"/>
          <w:color w:val="000000"/>
        </w:rPr>
      </w:pPr>
      <w:r>
        <w:rPr>
          <w:rFonts w:ascii="Calibri" w:hAnsi="Calibri" w:cs="Calibri"/>
          <w:color w:val="000000"/>
        </w:rPr>
        <w:t>“</w:t>
      </w:r>
      <w:r w:rsidR="00400B7C" w:rsidRPr="00F606CB">
        <w:rPr>
          <w:rFonts w:ascii="Calibri" w:hAnsi="Calibri" w:cs="Calibri"/>
          <w:i/>
          <w:color w:val="000000"/>
        </w:rPr>
        <w:t>If one wants to better understand, predict and even alter changes in urban neighborhoods, one thus must be exceedingly careful in operationally specifying the exact dynamic in question, and must recognize that such a specification may, in itself, influence the outcome of the analysis</w:t>
      </w:r>
      <w:r w:rsidR="00E32148">
        <w:rPr>
          <w:rFonts w:ascii="Calibri" w:hAnsi="Calibri" w:cs="Calibri"/>
          <w:i/>
          <w:color w:val="000000"/>
        </w:rPr>
        <w:t>.</w:t>
      </w:r>
      <w:r w:rsidR="00400B7C" w:rsidRPr="00400B7C">
        <w:rPr>
          <w:rFonts w:ascii="Calibri" w:hAnsi="Calibri" w:cs="Calibri"/>
          <w:color w:val="000000"/>
        </w:rPr>
        <w:t>”</w:t>
      </w:r>
    </w:p>
    <w:p w14:paraId="00FCE561" w14:textId="723A4DB1" w:rsidR="007F75E0" w:rsidRDefault="00417194" w:rsidP="00417194">
      <w:pPr>
        <w:rPr>
          <w:rFonts w:ascii="Calibri" w:hAnsi="Calibri" w:cs="Calibri"/>
          <w:color w:val="000000"/>
        </w:rPr>
      </w:pPr>
      <w:r>
        <w:rPr>
          <w:rFonts w:ascii="Calibri" w:hAnsi="Calibri" w:cs="Calibri"/>
          <w:color w:val="000000"/>
        </w:rPr>
        <w:t>The same study</w:t>
      </w:r>
      <w:r w:rsidR="003F6ADF">
        <w:rPr>
          <w:rFonts w:ascii="Calibri" w:hAnsi="Calibri" w:cs="Calibri"/>
          <w:color w:val="000000"/>
        </w:rPr>
        <w:t>’s</w:t>
      </w:r>
      <w:r>
        <w:rPr>
          <w:rFonts w:ascii="Calibri" w:hAnsi="Calibri" w:cs="Calibri"/>
          <w:color w:val="000000"/>
        </w:rPr>
        <w:t xml:space="preserve"> sensitivity analysis on Philadelphia census tracts conclud</w:t>
      </w:r>
      <w:r w:rsidR="003F6ADF">
        <w:rPr>
          <w:rFonts w:ascii="Calibri" w:hAnsi="Calibri" w:cs="Calibri"/>
          <w:color w:val="000000"/>
        </w:rPr>
        <w:t>ed</w:t>
      </w:r>
      <w:r>
        <w:rPr>
          <w:rFonts w:cstheme="minorHAnsi"/>
        </w:rPr>
        <w:t xml:space="preserve">, </w:t>
      </w:r>
      <w:r>
        <w:rPr>
          <w:rFonts w:cstheme="minorHAnsi"/>
          <w:i/>
          <w:iCs/>
        </w:rPr>
        <w:t>“</w:t>
      </w:r>
      <w:r w:rsidRPr="006307AA">
        <w:rPr>
          <w:rFonts w:cstheme="minorHAnsi"/>
          <w:i/>
          <w:iCs/>
        </w:rPr>
        <w:t>unambiguously that how one defines gentrification crucially affects which and how many tracts are identified as having undergone gentrification</w:t>
      </w:r>
      <w:r>
        <w:rPr>
          <w:rFonts w:cstheme="minorHAnsi"/>
          <w:i/>
          <w:iCs/>
        </w:rPr>
        <w:t xml:space="preserve">” </w:t>
      </w:r>
      <w:r w:rsidRPr="00417194">
        <w:rPr>
          <w:rFonts w:cstheme="minorHAnsi"/>
        </w:rPr>
        <w:t>(</w:t>
      </w:r>
      <w:proofErr w:type="spellStart"/>
      <w:r w:rsidRPr="00417194">
        <w:rPr>
          <w:rFonts w:cstheme="minorHAnsi"/>
        </w:rPr>
        <w:t>Galster</w:t>
      </w:r>
      <w:proofErr w:type="spellEnd"/>
      <w:r w:rsidRPr="00417194">
        <w:rPr>
          <w:rFonts w:cstheme="minorHAnsi"/>
        </w:rPr>
        <w:t xml:space="preserve"> </w:t>
      </w:r>
      <w:r w:rsidRPr="000D47F0">
        <w:rPr>
          <w:rFonts w:ascii="Calibri" w:hAnsi="Calibri" w:cs="Calibri"/>
          <w:color w:val="000000"/>
        </w:rPr>
        <w:t>and Peacock 1986).</w:t>
      </w:r>
      <w:r w:rsidR="00D33A5F" w:rsidRPr="000D47F0">
        <w:rPr>
          <w:rFonts w:ascii="Calibri" w:hAnsi="Calibri" w:cs="Calibri"/>
          <w:color w:val="000000"/>
        </w:rPr>
        <w:t xml:space="preserve"> </w:t>
      </w:r>
      <w:r w:rsidR="004D2CB5">
        <w:rPr>
          <w:rFonts w:ascii="Calibri" w:hAnsi="Calibri" w:cs="Calibri"/>
          <w:color w:val="000000"/>
        </w:rPr>
        <w:t>The study showed that s</w:t>
      </w:r>
      <w:r w:rsidR="00E82E49">
        <w:rPr>
          <w:rFonts w:ascii="Calibri" w:hAnsi="Calibri" w:cs="Calibri"/>
          <w:color w:val="000000"/>
        </w:rPr>
        <w:t>trict</w:t>
      </w:r>
      <w:r w:rsidR="000D47F0" w:rsidRPr="000D47F0">
        <w:rPr>
          <w:rFonts w:ascii="Calibri" w:hAnsi="Calibri" w:cs="Calibri"/>
          <w:color w:val="000000"/>
        </w:rPr>
        <w:t xml:space="preserve"> </w:t>
      </w:r>
      <w:r w:rsidR="00F86CC5">
        <w:rPr>
          <w:rFonts w:ascii="Calibri" w:hAnsi="Calibri" w:cs="Calibri"/>
          <w:color w:val="000000"/>
        </w:rPr>
        <w:t>criteria</w:t>
      </w:r>
      <w:r w:rsidR="000D47F0" w:rsidRPr="000D47F0">
        <w:rPr>
          <w:rFonts w:ascii="Calibri" w:hAnsi="Calibri" w:cs="Calibri"/>
          <w:color w:val="000000"/>
        </w:rPr>
        <w:t xml:space="preserve"> </w:t>
      </w:r>
      <w:r w:rsidR="000D47F0">
        <w:rPr>
          <w:rFonts w:ascii="Calibri" w:hAnsi="Calibri" w:cs="Calibri"/>
          <w:color w:val="000000"/>
        </w:rPr>
        <w:t xml:space="preserve">could </w:t>
      </w:r>
      <w:r w:rsidR="004D2CB5">
        <w:rPr>
          <w:rFonts w:ascii="Calibri" w:hAnsi="Calibri" w:cs="Calibri"/>
          <w:color w:val="000000"/>
        </w:rPr>
        <w:t>limit</w:t>
      </w:r>
      <w:r w:rsidR="000D47F0">
        <w:rPr>
          <w:rFonts w:ascii="Calibri" w:hAnsi="Calibri" w:cs="Calibri"/>
          <w:color w:val="000000"/>
        </w:rPr>
        <w:t xml:space="preserve"> the number of </w:t>
      </w:r>
      <w:r w:rsidR="003F6ADF">
        <w:rPr>
          <w:rFonts w:ascii="Calibri" w:hAnsi="Calibri" w:cs="Calibri"/>
          <w:color w:val="000000"/>
        </w:rPr>
        <w:t>eligible</w:t>
      </w:r>
      <w:r w:rsidR="000D47F0">
        <w:rPr>
          <w:rFonts w:ascii="Calibri" w:hAnsi="Calibri" w:cs="Calibri"/>
          <w:color w:val="000000"/>
        </w:rPr>
        <w:t xml:space="preserve"> census tracts labeled as gentrified to as</w:t>
      </w:r>
      <w:r w:rsidR="0060466E">
        <w:rPr>
          <w:rFonts w:ascii="Calibri" w:hAnsi="Calibri" w:cs="Calibri"/>
          <w:color w:val="000000"/>
        </w:rPr>
        <w:t xml:space="preserve"> little as</w:t>
      </w:r>
      <w:r w:rsidR="000D47F0" w:rsidRPr="000D47F0">
        <w:rPr>
          <w:rFonts w:ascii="Calibri" w:hAnsi="Calibri" w:cs="Calibri"/>
          <w:color w:val="000000"/>
        </w:rPr>
        <w:t xml:space="preserve"> 6%</w:t>
      </w:r>
      <w:r w:rsidR="000D47F0">
        <w:rPr>
          <w:rFonts w:ascii="Calibri" w:hAnsi="Calibri" w:cs="Calibri"/>
          <w:color w:val="000000"/>
        </w:rPr>
        <w:t xml:space="preserve">, while </w:t>
      </w:r>
      <w:r w:rsidR="004D2CB5">
        <w:rPr>
          <w:rFonts w:ascii="Calibri" w:hAnsi="Calibri" w:cs="Calibri"/>
          <w:color w:val="000000"/>
        </w:rPr>
        <w:t>less stringent</w:t>
      </w:r>
      <w:r w:rsidR="000D47F0">
        <w:rPr>
          <w:rFonts w:ascii="Calibri" w:hAnsi="Calibri" w:cs="Calibri"/>
          <w:color w:val="000000"/>
        </w:rPr>
        <w:t xml:space="preserve"> </w:t>
      </w:r>
      <w:r w:rsidR="00F86CC5">
        <w:rPr>
          <w:rFonts w:ascii="Calibri" w:hAnsi="Calibri" w:cs="Calibri"/>
          <w:color w:val="000000"/>
        </w:rPr>
        <w:t>criteria</w:t>
      </w:r>
      <w:r w:rsidR="000D47F0">
        <w:rPr>
          <w:rFonts w:ascii="Calibri" w:hAnsi="Calibri" w:cs="Calibri"/>
          <w:color w:val="000000"/>
        </w:rPr>
        <w:t xml:space="preserve"> could </w:t>
      </w:r>
      <w:r w:rsidR="004D2CB5">
        <w:rPr>
          <w:rFonts w:ascii="Calibri" w:hAnsi="Calibri" w:cs="Calibri"/>
          <w:color w:val="000000"/>
        </w:rPr>
        <w:t>identify up to</w:t>
      </w:r>
      <w:r w:rsidR="000D47F0" w:rsidRPr="000D47F0">
        <w:rPr>
          <w:rFonts w:ascii="Calibri" w:hAnsi="Calibri" w:cs="Calibri"/>
          <w:color w:val="000000"/>
        </w:rPr>
        <w:t xml:space="preserve"> 82% </w:t>
      </w:r>
      <w:r w:rsidR="000D47F0">
        <w:rPr>
          <w:rFonts w:ascii="Calibri" w:hAnsi="Calibri" w:cs="Calibri"/>
          <w:color w:val="000000"/>
        </w:rPr>
        <w:t>of</w:t>
      </w:r>
      <w:r w:rsidR="000D47F0" w:rsidRPr="000D47F0">
        <w:rPr>
          <w:rFonts w:ascii="Calibri" w:hAnsi="Calibri" w:cs="Calibri"/>
          <w:color w:val="000000"/>
        </w:rPr>
        <w:t xml:space="preserve"> tracts</w:t>
      </w:r>
      <w:r w:rsidR="004D2CB5">
        <w:rPr>
          <w:rFonts w:ascii="Calibri" w:hAnsi="Calibri" w:cs="Calibri"/>
          <w:color w:val="000000"/>
        </w:rPr>
        <w:t xml:space="preserve"> as gentrified</w:t>
      </w:r>
      <w:r w:rsidR="000D47F0" w:rsidRPr="000D47F0">
        <w:rPr>
          <w:rFonts w:ascii="Calibri" w:hAnsi="Calibri" w:cs="Calibri"/>
          <w:color w:val="000000"/>
        </w:rPr>
        <w:t>.</w:t>
      </w:r>
    </w:p>
    <w:p w14:paraId="2D9FD2D0" w14:textId="62B8FA45" w:rsidR="00400B7C" w:rsidRDefault="009B6EE1" w:rsidP="008A0302">
      <w:pPr>
        <w:ind w:firstLine="576"/>
        <w:rPr>
          <w:rFonts w:ascii="Calibri" w:hAnsi="Calibri" w:cs="Calibri"/>
          <w:color w:val="000000"/>
        </w:rPr>
      </w:pPr>
      <w:r>
        <w:rPr>
          <w:rFonts w:ascii="Calibri" w:hAnsi="Calibri" w:cs="Calibri"/>
          <w:color w:val="000000"/>
        </w:rPr>
        <w:t>Despite these cautions,</w:t>
      </w:r>
      <w:r w:rsidR="00E32148">
        <w:rPr>
          <w:rFonts w:ascii="Calibri" w:hAnsi="Calibri" w:cs="Calibri"/>
          <w:color w:val="000000"/>
        </w:rPr>
        <w:t xml:space="preserve"> modern research</w:t>
      </w:r>
      <w:r w:rsidR="007316B8">
        <w:rPr>
          <w:rFonts w:ascii="Calibri" w:hAnsi="Calibri" w:cs="Calibri"/>
          <w:color w:val="000000"/>
        </w:rPr>
        <w:t xml:space="preserve"> </w:t>
      </w:r>
      <w:r w:rsidR="00E32148">
        <w:rPr>
          <w:rFonts w:ascii="Calibri" w:hAnsi="Calibri" w:cs="Calibri"/>
          <w:color w:val="000000"/>
        </w:rPr>
        <w:t>exercise</w:t>
      </w:r>
      <w:r w:rsidR="007316B8">
        <w:rPr>
          <w:rFonts w:ascii="Calibri" w:hAnsi="Calibri" w:cs="Calibri"/>
          <w:color w:val="000000"/>
        </w:rPr>
        <w:t>s</w:t>
      </w:r>
      <w:r w:rsidR="00E32148">
        <w:rPr>
          <w:rFonts w:ascii="Calibri" w:hAnsi="Calibri" w:cs="Calibri"/>
          <w:color w:val="000000"/>
        </w:rPr>
        <w:t xml:space="preserve"> varying</w:t>
      </w:r>
      <w:r w:rsidR="00C96B55">
        <w:rPr>
          <w:rFonts w:ascii="Calibri" w:hAnsi="Calibri" w:cs="Calibri"/>
          <w:color w:val="000000"/>
        </w:rPr>
        <w:t>, but equally arbitrary,</w:t>
      </w:r>
      <w:r w:rsidR="00E32148">
        <w:rPr>
          <w:rFonts w:ascii="Calibri" w:hAnsi="Calibri" w:cs="Calibri"/>
          <w:color w:val="000000"/>
        </w:rPr>
        <w:t xml:space="preserve"> </w:t>
      </w:r>
      <w:r w:rsidR="00400B7C" w:rsidRPr="00400B7C">
        <w:rPr>
          <w:rFonts w:ascii="Calibri" w:hAnsi="Calibri" w:cs="Calibri"/>
          <w:color w:val="000000"/>
        </w:rPr>
        <w:t xml:space="preserve">operational definitions of gentrification. Until </w:t>
      </w:r>
      <w:r w:rsidR="0093185C">
        <w:rPr>
          <w:rFonts w:ascii="Calibri" w:hAnsi="Calibri" w:cs="Calibri"/>
          <w:color w:val="000000"/>
        </w:rPr>
        <w:t>the last decade</w:t>
      </w:r>
      <w:r w:rsidR="00400B7C" w:rsidRPr="00400B7C">
        <w:rPr>
          <w:rFonts w:ascii="Calibri" w:hAnsi="Calibri" w:cs="Calibri"/>
          <w:color w:val="000000"/>
        </w:rPr>
        <w:t xml:space="preserve">, </w:t>
      </w:r>
      <w:r w:rsidR="00A95B15">
        <w:rPr>
          <w:rFonts w:ascii="Calibri" w:hAnsi="Calibri" w:cs="Calibri"/>
          <w:color w:val="000000"/>
        </w:rPr>
        <w:t>such</w:t>
      </w:r>
      <w:r w:rsidR="0093185C">
        <w:rPr>
          <w:rFonts w:ascii="Calibri" w:hAnsi="Calibri" w:cs="Calibri"/>
          <w:color w:val="000000"/>
        </w:rPr>
        <w:t xml:space="preserve"> methodological</w:t>
      </w:r>
      <w:r w:rsidR="00400B7C" w:rsidRPr="00400B7C">
        <w:rPr>
          <w:rFonts w:ascii="Calibri" w:hAnsi="Calibri" w:cs="Calibri"/>
          <w:color w:val="000000"/>
        </w:rPr>
        <w:t xml:space="preserve"> discrepanc</w:t>
      </w:r>
      <w:r w:rsidR="009C04BA">
        <w:rPr>
          <w:rFonts w:ascii="Calibri" w:hAnsi="Calibri" w:cs="Calibri"/>
          <w:color w:val="000000"/>
        </w:rPr>
        <w:t>ies</w:t>
      </w:r>
      <w:r w:rsidR="00400B7C" w:rsidRPr="00400B7C">
        <w:rPr>
          <w:rFonts w:ascii="Calibri" w:hAnsi="Calibri" w:cs="Calibri"/>
          <w:color w:val="000000"/>
        </w:rPr>
        <w:t xml:space="preserve"> received little attention</w:t>
      </w:r>
      <w:r w:rsidR="008A0302">
        <w:rPr>
          <w:rFonts w:ascii="Calibri" w:hAnsi="Calibri" w:cs="Calibri"/>
          <w:color w:val="000000"/>
        </w:rPr>
        <w:t xml:space="preserve"> apart from a </w:t>
      </w:r>
      <w:r w:rsidR="00E57862">
        <w:rPr>
          <w:rFonts w:ascii="Calibri" w:hAnsi="Calibri" w:cs="Calibri"/>
          <w:color w:val="000000"/>
        </w:rPr>
        <w:t>few</w:t>
      </w:r>
      <w:r w:rsidR="008A0302">
        <w:rPr>
          <w:rFonts w:ascii="Calibri" w:hAnsi="Calibri" w:cs="Calibri"/>
          <w:color w:val="000000"/>
        </w:rPr>
        <w:t xml:space="preserve"> skeptical researchers</w:t>
      </w:r>
      <w:r w:rsidR="00400B7C" w:rsidRPr="00400B7C">
        <w:rPr>
          <w:rFonts w:ascii="Calibri" w:hAnsi="Calibri" w:cs="Calibri"/>
          <w:color w:val="000000"/>
        </w:rPr>
        <w:t xml:space="preserve">. </w:t>
      </w:r>
      <w:r w:rsidR="008A0302">
        <w:rPr>
          <w:rFonts w:ascii="Calibri" w:hAnsi="Calibri" w:cs="Calibri"/>
          <w:color w:val="000000"/>
        </w:rPr>
        <w:t xml:space="preserve">Among these, </w:t>
      </w:r>
      <w:proofErr w:type="spellStart"/>
      <w:r w:rsidR="00400B7C" w:rsidRPr="00400B7C">
        <w:rPr>
          <w:rFonts w:ascii="Calibri" w:hAnsi="Calibri" w:cs="Calibri"/>
          <w:color w:val="000000"/>
        </w:rPr>
        <w:t>Maloutas</w:t>
      </w:r>
      <w:proofErr w:type="spellEnd"/>
      <w:r w:rsidR="00400B7C" w:rsidRPr="00400B7C">
        <w:rPr>
          <w:rFonts w:ascii="Calibri" w:hAnsi="Calibri" w:cs="Calibri"/>
          <w:color w:val="000000"/>
        </w:rPr>
        <w:t xml:space="preserve"> (2012) note</w:t>
      </w:r>
      <w:r w:rsidR="006F60A2">
        <w:rPr>
          <w:rFonts w:ascii="Calibri" w:hAnsi="Calibri" w:cs="Calibri"/>
          <w:color w:val="000000"/>
        </w:rPr>
        <w:t>d</w:t>
      </w:r>
      <w:r w:rsidR="00400B7C" w:rsidRPr="00400B7C">
        <w:rPr>
          <w:rFonts w:ascii="Calibri" w:hAnsi="Calibri" w:cs="Calibri"/>
          <w:color w:val="000000"/>
        </w:rPr>
        <w:t xml:space="preserve"> that researchers “</w:t>
      </w:r>
      <w:r w:rsidR="00400B7C" w:rsidRPr="009C04BA">
        <w:rPr>
          <w:rFonts w:ascii="Calibri" w:hAnsi="Calibri" w:cs="Calibri"/>
          <w:i/>
          <w:iCs/>
          <w:color w:val="000000"/>
        </w:rPr>
        <w:t>would have plenty to gain from an increased awareness of the contextual limits of their own tools.</w:t>
      </w:r>
      <w:r w:rsidR="00400B7C" w:rsidRPr="00400B7C">
        <w:rPr>
          <w:rFonts w:ascii="Calibri" w:hAnsi="Calibri" w:cs="Calibri"/>
          <w:color w:val="000000"/>
        </w:rPr>
        <w:t>” Similarly, Brown-</w:t>
      </w:r>
      <w:proofErr w:type="spellStart"/>
      <w:r w:rsidR="00400B7C" w:rsidRPr="00400B7C">
        <w:rPr>
          <w:rFonts w:ascii="Calibri" w:hAnsi="Calibri" w:cs="Calibri"/>
          <w:color w:val="000000"/>
        </w:rPr>
        <w:t>Saracino</w:t>
      </w:r>
      <w:proofErr w:type="spellEnd"/>
      <w:r w:rsidR="00400B7C" w:rsidRPr="00400B7C">
        <w:rPr>
          <w:rFonts w:ascii="Calibri" w:hAnsi="Calibri" w:cs="Calibri"/>
          <w:color w:val="000000"/>
        </w:rPr>
        <w:t xml:space="preserve"> (2017) suggest that the spectrum of operational definitions “</w:t>
      </w:r>
      <w:r w:rsidR="00400B7C" w:rsidRPr="009C04BA">
        <w:rPr>
          <w:rFonts w:ascii="Calibri" w:hAnsi="Calibri" w:cs="Calibri"/>
          <w:i/>
          <w:iCs/>
          <w:color w:val="000000"/>
        </w:rPr>
        <w:t>gesture to collective uncertainty about how to define and operationalize gentrification</w:t>
      </w:r>
      <w:r w:rsidR="00400B7C" w:rsidRPr="00400B7C">
        <w:rPr>
          <w:rFonts w:ascii="Calibri" w:hAnsi="Calibri" w:cs="Calibri"/>
          <w:color w:val="000000"/>
        </w:rPr>
        <w:t xml:space="preserve">.” </w:t>
      </w:r>
      <w:r w:rsidR="00ED0CB3">
        <w:rPr>
          <w:rFonts w:ascii="Calibri" w:hAnsi="Calibri" w:cs="Calibri"/>
          <w:color w:val="000000"/>
        </w:rPr>
        <w:t xml:space="preserve">Easton et al. (2019) provide the most detailed critique of quantitative methods to identify gentrification and </w:t>
      </w:r>
      <w:r w:rsidR="00873EBF">
        <w:rPr>
          <w:rFonts w:ascii="Calibri" w:hAnsi="Calibri" w:cs="Calibri"/>
          <w:color w:val="000000"/>
        </w:rPr>
        <w:t>displacement but</w:t>
      </w:r>
      <w:r w:rsidR="00ED0CB3">
        <w:rPr>
          <w:rFonts w:ascii="Calibri" w:hAnsi="Calibri" w:cs="Calibri"/>
          <w:color w:val="000000"/>
        </w:rPr>
        <w:t xml:space="preserve"> stop short of </w:t>
      </w:r>
      <w:r>
        <w:rPr>
          <w:rFonts w:ascii="Calibri" w:hAnsi="Calibri" w:cs="Calibri"/>
          <w:color w:val="000000"/>
        </w:rPr>
        <w:t>defending an</w:t>
      </w:r>
      <w:r w:rsidR="00A95B15">
        <w:rPr>
          <w:rFonts w:ascii="Calibri" w:hAnsi="Calibri" w:cs="Calibri"/>
          <w:color w:val="000000"/>
        </w:rPr>
        <w:t xml:space="preserve"> alternative.</w:t>
      </w:r>
      <w:r w:rsidR="008A0302">
        <w:rPr>
          <w:rFonts w:ascii="Calibri" w:hAnsi="Calibri" w:cs="Calibri"/>
          <w:color w:val="000000"/>
        </w:rPr>
        <w:t xml:space="preserve"> </w:t>
      </w:r>
      <w:r w:rsidR="00E57862">
        <w:rPr>
          <w:rFonts w:ascii="Calibri" w:hAnsi="Calibri" w:cs="Calibri"/>
          <w:color w:val="000000"/>
        </w:rPr>
        <w:t xml:space="preserve">The following section </w:t>
      </w:r>
      <w:r w:rsidR="000D4F53">
        <w:rPr>
          <w:rFonts w:ascii="Calibri" w:hAnsi="Calibri" w:cs="Calibri"/>
          <w:color w:val="000000"/>
        </w:rPr>
        <w:t xml:space="preserve">critically </w:t>
      </w:r>
      <w:r w:rsidR="00E57862">
        <w:rPr>
          <w:rFonts w:ascii="Calibri" w:hAnsi="Calibri" w:cs="Calibri"/>
          <w:color w:val="000000"/>
        </w:rPr>
        <w:t xml:space="preserve">examines the </w:t>
      </w:r>
      <w:r w:rsidR="000D4F53">
        <w:rPr>
          <w:rFonts w:ascii="Calibri" w:hAnsi="Calibri" w:cs="Calibri"/>
          <w:color w:val="000000"/>
        </w:rPr>
        <w:t>inconsistencies</w:t>
      </w:r>
      <w:r w:rsidR="007316B8">
        <w:rPr>
          <w:rFonts w:ascii="Calibri" w:hAnsi="Calibri" w:cs="Calibri"/>
          <w:color w:val="000000"/>
        </w:rPr>
        <w:t xml:space="preserve"> and</w:t>
      </w:r>
      <w:r w:rsidR="000D4F53">
        <w:rPr>
          <w:rFonts w:ascii="Calibri" w:hAnsi="Calibri" w:cs="Calibri"/>
          <w:color w:val="000000"/>
        </w:rPr>
        <w:t xml:space="preserve"> limitations of the primary class of methods used to identify gentrification in practice.  </w:t>
      </w:r>
      <w:r w:rsidR="008E5DDD">
        <w:rPr>
          <w:rFonts w:ascii="Calibri" w:hAnsi="Calibri" w:cs="Calibri"/>
          <w:color w:val="000000"/>
        </w:rPr>
        <w:t xml:space="preserve"> </w:t>
      </w:r>
    </w:p>
    <w:p w14:paraId="1B919941" w14:textId="77777777" w:rsidR="006307AA" w:rsidRDefault="006307AA" w:rsidP="00063D26">
      <w:pPr>
        <w:autoSpaceDE w:val="0"/>
        <w:autoSpaceDN w:val="0"/>
        <w:adjustRightInd w:val="0"/>
        <w:spacing w:after="0" w:line="240" w:lineRule="auto"/>
        <w:ind w:firstLine="720"/>
        <w:rPr>
          <w:rFonts w:ascii="Calibri" w:hAnsi="Calibri" w:cs="Calibri"/>
          <w:color w:val="000000"/>
        </w:rPr>
      </w:pPr>
    </w:p>
    <w:p w14:paraId="174E43EB" w14:textId="77777777" w:rsidR="00D4244E" w:rsidRDefault="00D4244E" w:rsidP="00D4244E">
      <w:pPr>
        <w:pStyle w:val="Heading3"/>
      </w:pPr>
      <w:r>
        <w:t>Threshold Strategies</w:t>
      </w:r>
    </w:p>
    <w:p w14:paraId="01414FEA" w14:textId="0040459A" w:rsidR="00D147F0" w:rsidRDefault="00D4244E" w:rsidP="00D147F0">
      <w:pPr>
        <w:ind w:firstLine="720"/>
        <w:rPr>
          <w:rFonts w:ascii="Calibri" w:hAnsi="Calibri" w:cs="Calibri"/>
          <w:color w:val="000000"/>
        </w:rPr>
      </w:pPr>
      <w:r>
        <w:rPr>
          <w:rFonts w:ascii="Calibri" w:hAnsi="Calibri" w:cs="Calibri"/>
          <w:color w:val="000000"/>
        </w:rPr>
        <w:t>Q</w:t>
      </w:r>
      <w:r w:rsidRPr="00400B7C">
        <w:rPr>
          <w:rFonts w:ascii="Calibri" w:hAnsi="Calibri" w:cs="Calibri"/>
          <w:color w:val="000000"/>
        </w:rPr>
        <w:t xml:space="preserve">uantitative studies </w:t>
      </w:r>
      <w:r>
        <w:rPr>
          <w:rFonts w:ascii="Calibri" w:hAnsi="Calibri" w:cs="Calibri"/>
          <w:color w:val="000000"/>
        </w:rPr>
        <w:t>attempting to identify</w:t>
      </w:r>
      <w:r w:rsidRPr="00400B7C">
        <w:rPr>
          <w:rFonts w:ascii="Calibri" w:hAnsi="Calibri" w:cs="Calibri"/>
          <w:color w:val="000000"/>
        </w:rPr>
        <w:t xml:space="preserve"> gentrification </w:t>
      </w:r>
      <w:r>
        <w:rPr>
          <w:rFonts w:ascii="Calibri" w:hAnsi="Calibri" w:cs="Calibri"/>
          <w:color w:val="000000"/>
        </w:rPr>
        <w:t xml:space="preserve">generally take </w:t>
      </w:r>
      <w:r w:rsidRPr="00400B7C">
        <w:rPr>
          <w:rFonts w:ascii="Calibri" w:hAnsi="Calibri" w:cs="Calibri"/>
          <w:color w:val="000000"/>
        </w:rPr>
        <w:t xml:space="preserve">the form of a two-tiered, </w:t>
      </w:r>
      <w:r>
        <w:rPr>
          <w:rFonts w:ascii="Calibri" w:hAnsi="Calibri" w:cs="Calibri"/>
          <w:color w:val="000000"/>
        </w:rPr>
        <w:t>threshold</w:t>
      </w:r>
      <w:r w:rsidRPr="00400B7C">
        <w:rPr>
          <w:rFonts w:ascii="Calibri" w:hAnsi="Calibri" w:cs="Calibri"/>
          <w:color w:val="000000"/>
        </w:rPr>
        <w:t xml:space="preserve"> </w:t>
      </w:r>
      <w:r>
        <w:rPr>
          <w:rFonts w:ascii="Calibri" w:hAnsi="Calibri" w:cs="Calibri"/>
          <w:color w:val="000000"/>
        </w:rPr>
        <w:t>framework</w:t>
      </w:r>
      <w:r w:rsidRPr="00400B7C">
        <w:rPr>
          <w:rFonts w:ascii="Calibri" w:hAnsi="Calibri" w:cs="Calibri"/>
          <w:color w:val="000000"/>
        </w:rPr>
        <w:t xml:space="preserve"> in which spatial units are qualified as eligible for gentrification during a starting year based on one or m</w:t>
      </w:r>
      <w:r>
        <w:rPr>
          <w:rFonts w:ascii="Calibri" w:hAnsi="Calibri" w:cs="Calibri"/>
          <w:color w:val="000000"/>
        </w:rPr>
        <w:t>ore socio-economic thresholds (Figure 2</w:t>
      </w:r>
      <w:r w:rsidRPr="00400B7C">
        <w:rPr>
          <w:rFonts w:ascii="Calibri" w:hAnsi="Calibri" w:cs="Calibri"/>
          <w:color w:val="000000"/>
        </w:rPr>
        <w:t>). This eligibility step explicitly limit</w:t>
      </w:r>
      <w:r>
        <w:rPr>
          <w:rFonts w:ascii="Calibri" w:hAnsi="Calibri" w:cs="Calibri"/>
          <w:color w:val="000000"/>
        </w:rPr>
        <w:t>s</w:t>
      </w:r>
      <w:r w:rsidRPr="00400B7C">
        <w:rPr>
          <w:rFonts w:ascii="Calibri" w:hAnsi="Calibri" w:cs="Calibri"/>
          <w:color w:val="000000"/>
        </w:rPr>
        <w:t xml:space="preserve"> gentrification to lower socio-economic areas</w:t>
      </w:r>
      <w:r>
        <w:rPr>
          <w:rFonts w:ascii="Calibri" w:hAnsi="Calibri" w:cs="Calibri"/>
          <w:color w:val="000000"/>
        </w:rPr>
        <w:t xml:space="preserve"> and may also include explicit spatial restrictions to limit gentrification to inner-city tracts</w:t>
      </w:r>
      <w:r w:rsidRPr="00400B7C">
        <w:rPr>
          <w:rFonts w:ascii="Calibri" w:hAnsi="Calibri" w:cs="Calibri"/>
          <w:color w:val="000000"/>
        </w:rPr>
        <w:t xml:space="preserve">. </w:t>
      </w:r>
      <w:r>
        <w:rPr>
          <w:rFonts w:ascii="Calibri" w:hAnsi="Calibri" w:cs="Calibri"/>
          <w:color w:val="000000"/>
        </w:rPr>
        <w:t xml:space="preserve">In practice, eligibility constraints vary considerably and act as subjective levers governing the scope of areas considered for gentrification. Countless threshold-variable combinations have been used to dictate eligibility including </w:t>
      </w:r>
      <w:r w:rsidRPr="00400B7C">
        <w:rPr>
          <w:rFonts w:ascii="Calibri" w:hAnsi="Calibri" w:cs="Calibri"/>
          <w:color w:val="000000"/>
        </w:rPr>
        <w:t>Hammel and Wyly</w:t>
      </w:r>
      <w:r>
        <w:rPr>
          <w:rFonts w:ascii="Calibri" w:hAnsi="Calibri" w:cs="Calibri"/>
          <w:color w:val="000000"/>
        </w:rPr>
        <w:t>’s</w:t>
      </w:r>
      <w:r w:rsidRPr="00400B7C">
        <w:rPr>
          <w:rFonts w:ascii="Calibri" w:hAnsi="Calibri" w:cs="Calibri"/>
          <w:color w:val="000000"/>
        </w:rPr>
        <w:t xml:space="preserve"> (1996) </w:t>
      </w:r>
      <w:r>
        <w:rPr>
          <w:rFonts w:ascii="Calibri" w:hAnsi="Calibri" w:cs="Calibri"/>
          <w:color w:val="000000"/>
        </w:rPr>
        <w:t xml:space="preserve">definition that </w:t>
      </w:r>
      <w:r w:rsidRPr="00400B7C">
        <w:rPr>
          <w:rFonts w:ascii="Calibri" w:hAnsi="Calibri" w:cs="Calibri"/>
          <w:color w:val="000000"/>
        </w:rPr>
        <w:t>requir</w:t>
      </w:r>
      <w:r>
        <w:rPr>
          <w:rFonts w:ascii="Calibri" w:hAnsi="Calibri" w:cs="Calibri"/>
          <w:color w:val="000000"/>
        </w:rPr>
        <w:t>es</w:t>
      </w:r>
      <w:r w:rsidRPr="00400B7C">
        <w:rPr>
          <w:rFonts w:ascii="Calibri" w:hAnsi="Calibri" w:cs="Calibri"/>
          <w:color w:val="000000"/>
        </w:rPr>
        <w:t xml:space="preserve"> eligible </w:t>
      </w:r>
      <w:r>
        <w:rPr>
          <w:rFonts w:ascii="Calibri" w:hAnsi="Calibri" w:cs="Calibri"/>
          <w:color w:val="000000"/>
        </w:rPr>
        <w:t>c</w:t>
      </w:r>
      <w:r w:rsidRPr="00400B7C">
        <w:rPr>
          <w:rFonts w:ascii="Calibri" w:hAnsi="Calibri" w:cs="Calibri"/>
          <w:color w:val="000000"/>
        </w:rPr>
        <w:t xml:space="preserve">ensus tracts to </w:t>
      </w:r>
      <w:r>
        <w:rPr>
          <w:rFonts w:ascii="Calibri" w:hAnsi="Calibri" w:cs="Calibri"/>
          <w:color w:val="000000"/>
        </w:rPr>
        <w:t xml:space="preserve">begin the </w:t>
      </w:r>
      <w:proofErr w:type="gramStart"/>
      <w:r>
        <w:rPr>
          <w:rFonts w:ascii="Calibri" w:hAnsi="Calibri" w:cs="Calibri"/>
          <w:color w:val="000000"/>
        </w:rPr>
        <w:t>time period</w:t>
      </w:r>
      <w:proofErr w:type="gramEnd"/>
      <w:r>
        <w:rPr>
          <w:rFonts w:ascii="Calibri" w:hAnsi="Calibri" w:cs="Calibri"/>
          <w:color w:val="000000"/>
        </w:rPr>
        <w:t xml:space="preserve"> below</w:t>
      </w:r>
      <w:r w:rsidRPr="00400B7C">
        <w:rPr>
          <w:rFonts w:ascii="Calibri" w:hAnsi="Calibri" w:cs="Calibri"/>
          <w:color w:val="000000"/>
        </w:rPr>
        <w:t xml:space="preserve"> city-wide median income.</w:t>
      </w:r>
      <w:r>
        <w:rPr>
          <w:rFonts w:ascii="Calibri" w:hAnsi="Calibri" w:cs="Calibri"/>
          <w:color w:val="000000"/>
        </w:rPr>
        <w:t xml:space="preserve"> Elsewhere,</w:t>
      </w:r>
      <w:r w:rsidRPr="00400B7C">
        <w:rPr>
          <w:rFonts w:ascii="Calibri" w:hAnsi="Calibri" w:cs="Calibri"/>
          <w:color w:val="000000"/>
        </w:rPr>
        <w:t xml:space="preserve"> Ellen and Ding (2016) require eligible tracts</w:t>
      </w:r>
      <w:r>
        <w:rPr>
          <w:rFonts w:ascii="Calibri" w:hAnsi="Calibri" w:cs="Calibri"/>
          <w:color w:val="000000"/>
        </w:rPr>
        <w:t xml:space="preserve"> to be located within</w:t>
      </w:r>
      <w:r w:rsidRPr="00400B7C">
        <w:rPr>
          <w:rFonts w:ascii="Calibri" w:hAnsi="Calibri" w:cs="Calibri"/>
          <w:color w:val="000000"/>
        </w:rPr>
        <w:t xml:space="preserve"> the central city </w:t>
      </w:r>
      <w:r>
        <w:rPr>
          <w:rFonts w:ascii="Calibri" w:hAnsi="Calibri" w:cs="Calibri"/>
          <w:color w:val="000000"/>
        </w:rPr>
        <w:t>and have</w:t>
      </w:r>
      <w:r w:rsidRPr="00400B7C">
        <w:rPr>
          <w:rFonts w:ascii="Calibri" w:hAnsi="Calibri" w:cs="Calibri"/>
          <w:color w:val="000000"/>
        </w:rPr>
        <w:t xml:space="preserve"> average family incomes below the 40</w:t>
      </w:r>
      <w:r w:rsidRPr="00400B7C">
        <w:rPr>
          <w:rFonts w:ascii="Calibri" w:hAnsi="Calibri" w:cs="Calibri"/>
          <w:color w:val="000000"/>
          <w:sz w:val="14"/>
          <w:szCs w:val="14"/>
        </w:rPr>
        <w:t xml:space="preserve">th </w:t>
      </w:r>
      <w:r w:rsidRPr="00400B7C">
        <w:rPr>
          <w:rFonts w:ascii="Calibri" w:hAnsi="Calibri" w:cs="Calibri"/>
          <w:color w:val="000000"/>
        </w:rPr>
        <w:t>percentile of metropolitan-wide average family incomes</w:t>
      </w:r>
      <w:r>
        <w:rPr>
          <w:rFonts w:ascii="Calibri" w:hAnsi="Calibri" w:cs="Calibri"/>
          <w:color w:val="000000"/>
        </w:rPr>
        <w:t xml:space="preserve">. Another example, </w:t>
      </w:r>
      <w:proofErr w:type="spellStart"/>
      <w:r w:rsidRPr="00400B7C">
        <w:rPr>
          <w:rFonts w:ascii="Calibri" w:hAnsi="Calibri" w:cs="Calibri"/>
          <w:color w:val="000000"/>
        </w:rPr>
        <w:t>Maciag</w:t>
      </w:r>
      <w:proofErr w:type="spellEnd"/>
      <w:r w:rsidRPr="00400B7C">
        <w:rPr>
          <w:rFonts w:ascii="Calibri" w:hAnsi="Calibri" w:cs="Calibri"/>
          <w:color w:val="000000"/>
        </w:rPr>
        <w:t xml:space="preserve"> (2015)</w:t>
      </w:r>
      <w:r>
        <w:rPr>
          <w:rFonts w:ascii="Calibri" w:hAnsi="Calibri" w:cs="Calibri"/>
          <w:color w:val="000000"/>
        </w:rPr>
        <w:t>,</w:t>
      </w:r>
      <w:r w:rsidRPr="00400B7C">
        <w:rPr>
          <w:rFonts w:ascii="Calibri" w:hAnsi="Calibri" w:cs="Calibri"/>
          <w:color w:val="000000"/>
        </w:rPr>
        <w:t xml:space="preserve"> </w:t>
      </w:r>
      <w:r>
        <w:rPr>
          <w:rFonts w:ascii="Calibri" w:hAnsi="Calibri" w:cs="Calibri"/>
          <w:color w:val="000000"/>
        </w:rPr>
        <w:t xml:space="preserve">restricts gentrification to the </w:t>
      </w:r>
      <w:r w:rsidRPr="00400B7C">
        <w:rPr>
          <w:rFonts w:ascii="Calibri" w:hAnsi="Calibri" w:cs="Calibri"/>
          <w:color w:val="000000"/>
        </w:rPr>
        <w:t>bottom 40</w:t>
      </w:r>
      <w:r w:rsidRPr="00400B7C">
        <w:rPr>
          <w:rFonts w:ascii="Calibri" w:hAnsi="Calibri" w:cs="Calibri"/>
          <w:color w:val="000000"/>
          <w:sz w:val="14"/>
          <w:szCs w:val="14"/>
        </w:rPr>
        <w:t xml:space="preserve">th </w:t>
      </w:r>
      <w:r w:rsidRPr="00400B7C">
        <w:rPr>
          <w:rFonts w:ascii="Calibri" w:hAnsi="Calibri" w:cs="Calibri"/>
          <w:color w:val="000000"/>
        </w:rPr>
        <w:t>percentile of both median household income and median home value compared to all tracts within the metropolitan area.</w:t>
      </w:r>
      <w:r>
        <w:rPr>
          <w:rFonts w:ascii="Calibri" w:hAnsi="Calibri" w:cs="Calibri"/>
          <w:color w:val="000000"/>
        </w:rPr>
        <w:t xml:space="preserve"> Given the benefit of the doubt, eligibility constraints may parallel the objectives of Bayesian prior distributions. However, these constraints are too often purely speculative and statistically unfounded, instead relying on a </w:t>
      </w:r>
      <w:r>
        <w:rPr>
          <w:rFonts w:ascii="Calibri" w:hAnsi="Calibri" w:cs="Calibri"/>
          <w:color w:val="000000"/>
        </w:rPr>
        <w:lastRenderedPageBreak/>
        <w:t xml:space="preserve">subjective belief that gentrification may only begin at some </w:t>
      </w:r>
      <w:proofErr w:type="gramStart"/>
      <w:r>
        <w:rPr>
          <w:rFonts w:ascii="Calibri" w:hAnsi="Calibri" w:cs="Calibri"/>
          <w:color w:val="000000"/>
        </w:rPr>
        <w:t>arbitrarily-imposed</w:t>
      </w:r>
      <w:proofErr w:type="gramEnd"/>
      <w:r>
        <w:rPr>
          <w:rFonts w:ascii="Calibri" w:hAnsi="Calibri" w:cs="Calibri"/>
          <w:color w:val="000000"/>
        </w:rPr>
        <w:t xml:space="preserve"> initial socioeconomic status.</w:t>
      </w:r>
    </w:p>
    <w:p w14:paraId="04318CE4" w14:textId="11A3366E" w:rsidR="00D4244E" w:rsidRPr="00D147F0" w:rsidRDefault="00D4244E" w:rsidP="00D147F0">
      <w:pPr>
        <w:ind w:firstLine="720"/>
        <w:jc w:val="center"/>
        <w:rPr>
          <w:rFonts w:ascii="Calibri" w:hAnsi="Calibri" w:cs="Calibri"/>
          <w:color w:val="000000"/>
        </w:rPr>
      </w:pPr>
    </w:p>
    <w:p w14:paraId="7BF6BC8C" w14:textId="77777777" w:rsidR="00D4244E" w:rsidRPr="00525903" w:rsidRDefault="00D4244E" w:rsidP="00D4244E">
      <w:pPr>
        <w:pStyle w:val="Caption"/>
        <w:jc w:val="center"/>
        <w:rPr>
          <w:rFonts w:ascii="Calibri" w:hAnsi="Calibri" w:cs="Calibri"/>
          <w:color w:val="000000"/>
          <w:sz w:val="20"/>
          <w:szCs w:val="20"/>
        </w:rPr>
      </w:pPr>
      <w:r w:rsidRPr="00525903">
        <w:rPr>
          <w:sz w:val="20"/>
          <w:szCs w:val="20"/>
        </w:rPr>
        <w:t xml:space="preserve">Figure </w:t>
      </w:r>
      <w:r>
        <w:rPr>
          <w:sz w:val="20"/>
          <w:szCs w:val="20"/>
        </w:rPr>
        <w:t>2</w:t>
      </w:r>
      <w:r w:rsidRPr="00525903">
        <w:rPr>
          <w:sz w:val="20"/>
          <w:szCs w:val="20"/>
        </w:rPr>
        <w:t>. General threshold framework used to identify gentrification.</w:t>
      </w:r>
    </w:p>
    <w:p w14:paraId="43AC5021" w14:textId="77777777" w:rsidR="00D4244E" w:rsidRDefault="00D4244E" w:rsidP="00D4244E">
      <w:pPr>
        <w:ind w:firstLine="720"/>
        <w:rPr>
          <w:rFonts w:ascii="Calibri" w:hAnsi="Calibri" w:cs="Calibri"/>
          <w:color w:val="000000"/>
        </w:rPr>
      </w:pPr>
      <w:r w:rsidRPr="00400B7C">
        <w:rPr>
          <w:rFonts w:ascii="Calibri" w:hAnsi="Calibri" w:cs="Calibri"/>
          <w:color w:val="000000"/>
        </w:rPr>
        <w:t>Areas</w:t>
      </w:r>
      <w:r>
        <w:rPr>
          <w:rFonts w:ascii="Calibri" w:hAnsi="Calibri" w:cs="Calibri"/>
          <w:color w:val="000000"/>
        </w:rPr>
        <w:t xml:space="preserve"> satisfying</w:t>
      </w:r>
      <w:r w:rsidRPr="00400B7C">
        <w:rPr>
          <w:rFonts w:ascii="Calibri" w:hAnsi="Calibri" w:cs="Calibri"/>
          <w:color w:val="000000"/>
        </w:rPr>
        <w:t xml:space="preserve"> eligibility </w:t>
      </w:r>
      <w:r>
        <w:rPr>
          <w:rFonts w:ascii="Calibri" w:hAnsi="Calibri" w:cs="Calibri"/>
          <w:color w:val="000000"/>
        </w:rPr>
        <w:t>criteria</w:t>
      </w:r>
      <w:r w:rsidRPr="00400B7C">
        <w:rPr>
          <w:rFonts w:ascii="Calibri" w:hAnsi="Calibri" w:cs="Calibri"/>
          <w:color w:val="000000"/>
        </w:rPr>
        <w:t xml:space="preserve"> are </w:t>
      </w:r>
      <w:r>
        <w:rPr>
          <w:rFonts w:ascii="Calibri" w:hAnsi="Calibri" w:cs="Calibri"/>
          <w:color w:val="000000"/>
        </w:rPr>
        <w:t>considered</w:t>
      </w:r>
      <w:r w:rsidRPr="00400B7C">
        <w:rPr>
          <w:rFonts w:ascii="Calibri" w:hAnsi="Calibri" w:cs="Calibri"/>
          <w:color w:val="000000"/>
        </w:rPr>
        <w:t xml:space="preserve"> </w:t>
      </w:r>
      <w:r>
        <w:rPr>
          <w:rFonts w:ascii="Calibri" w:hAnsi="Calibri" w:cs="Calibri"/>
          <w:color w:val="000000"/>
        </w:rPr>
        <w:t>“</w:t>
      </w:r>
      <w:r w:rsidRPr="00400B7C">
        <w:rPr>
          <w:rFonts w:ascii="Calibri" w:hAnsi="Calibri" w:cs="Calibri"/>
          <w:color w:val="000000"/>
        </w:rPr>
        <w:t>gentrified</w:t>
      </w:r>
      <w:r>
        <w:rPr>
          <w:rFonts w:ascii="Calibri" w:hAnsi="Calibri" w:cs="Calibri"/>
          <w:color w:val="000000"/>
        </w:rPr>
        <w:t>”</w:t>
      </w:r>
      <w:r w:rsidRPr="00400B7C">
        <w:rPr>
          <w:rFonts w:ascii="Calibri" w:hAnsi="Calibri" w:cs="Calibri"/>
          <w:color w:val="000000"/>
        </w:rPr>
        <w:t xml:space="preserve"> </w:t>
      </w:r>
      <w:r>
        <w:rPr>
          <w:rFonts w:ascii="Calibri" w:hAnsi="Calibri" w:cs="Calibri"/>
          <w:color w:val="000000"/>
        </w:rPr>
        <w:t xml:space="preserve">by </w:t>
      </w:r>
      <w:r w:rsidRPr="00400B7C">
        <w:rPr>
          <w:rFonts w:ascii="Calibri" w:hAnsi="Calibri" w:cs="Calibri"/>
          <w:color w:val="000000"/>
        </w:rPr>
        <w:t>outpac</w:t>
      </w:r>
      <w:r>
        <w:rPr>
          <w:rFonts w:ascii="Calibri" w:hAnsi="Calibri" w:cs="Calibri"/>
          <w:color w:val="000000"/>
        </w:rPr>
        <w:t>ing</w:t>
      </w:r>
      <w:r w:rsidRPr="00400B7C">
        <w:rPr>
          <w:rFonts w:ascii="Calibri" w:hAnsi="Calibri" w:cs="Calibri"/>
          <w:color w:val="000000"/>
        </w:rPr>
        <w:t xml:space="preserve"> one or more </w:t>
      </w:r>
      <w:r>
        <w:rPr>
          <w:rFonts w:ascii="Calibri" w:hAnsi="Calibri" w:cs="Calibri"/>
          <w:color w:val="000000"/>
        </w:rPr>
        <w:t>socioeconomic variables</w:t>
      </w:r>
      <w:r w:rsidRPr="00400B7C">
        <w:rPr>
          <w:rFonts w:ascii="Calibri" w:hAnsi="Calibri" w:cs="Calibri"/>
          <w:color w:val="000000"/>
        </w:rPr>
        <w:t>. Hammel and Wyly</w:t>
      </w:r>
      <w:r>
        <w:rPr>
          <w:rFonts w:ascii="Calibri" w:hAnsi="Calibri" w:cs="Calibri"/>
          <w:color w:val="000000"/>
        </w:rPr>
        <w:t>’s</w:t>
      </w:r>
      <w:r w:rsidRPr="00400B7C">
        <w:rPr>
          <w:rFonts w:ascii="Calibri" w:hAnsi="Calibri" w:cs="Calibri"/>
          <w:color w:val="000000"/>
        </w:rPr>
        <w:t xml:space="preserve"> (1996) </w:t>
      </w:r>
      <w:r>
        <w:rPr>
          <w:rFonts w:ascii="Calibri" w:hAnsi="Calibri" w:cs="Calibri"/>
          <w:color w:val="000000"/>
        </w:rPr>
        <w:t>method identifies gentrification by</w:t>
      </w:r>
      <w:r w:rsidRPr="00400B7C">
        <w:rPr>
          <w:rFonts w:ascii="Calibri" w:hAnsi="Calibri" w:cs="Calibri"/>
          <w:color w:val="000000"/>
        </w:rPr>
        <w:t xml:space="preserve"> eligible</w:t>
      </w:r>
      <w:r>
        <w:rPr>
          <w:rFonts w:ascii="Calibri" w:hAnsi="Calibri" w:cs="Calibri"/>
          <w:color w:val="000000"/>
        </w:rPr>
        <w:t xml:space="preserve"> tracts that</w:t>
      </w:r>
      <w:r w:rsidRPr="00400B7C">
        <w:rPr>
          <w:rFonts w:ascii="Calibri" w:hAnsi="Calibri" w:cs="Calibri"/>
          <w:color w:val="000000"/>
        </w:rPr>
        <w:t xml:space="preserve"> rise above city-wide median incomes in the subsequent decade. Ellen and Ding (2016) require a minimum 10 percentage point increase in the tract-to-metro ratio of average family income, percentage of white residents, percentage of college-educated residents, or median rent. </w:t>
      </w:r>
      <w:proofErr w:type="spellStart"/>
      <w:r w:rsidRPr="000D4F53">
        <w:rPr>
          <w:rFonts w:ascii="Calibri" w:hAnsi="Calibri" w:cs="Calibri"/>
          <w:color w:val="000000"/>
        </w:rPr>
        <w:t>Maciag</w:t>
      </w:r>
      <w:proofErr w:type="spellEnd"/>
      <w:r w:rsidRPr="00400B7C">
        <w:rPr>
          <w:rFonts w:ascii="Calibri" w:hAnsi="Calibri" w:cs="Calibri"/>
          <w:color w:val="000000"/>
        </w:rPr>
        <w:t xml:space="preserve"> (2015) requires gentrifying areas to experience increases in</w:t>
      </w:r>
      <w:r>
        <w:rPr>
          <w:rFonts w:ascii="Calibri" w:hAnsi="Calibri" w:cs="Calibri"/>
          <w:color w:val="000000"/>
        </w:rPr>
        <w:t xml:space="preserve"> both</w:t>
      </w:r>
      <w:r w:rsidRPr="00400B7C">
        <w:rPr>
          <w:rFonts w:ascii="Calibri" w:hAnsi="Calibri" w:cs="Calibri"/>
          <w:color w:val="000000"/>
        </w:rPr>
        <w:t xml:space="preserve"> college attainment and inflation-adjusted median home values in the top third percentile of all metro </w:t>
      </w:r>
      <w:r>
        <w:rPr>
          <w:rFonts w:ascii="Calibri" w:hAnsi="Calibri" w:cs="Calibri"/>
          <w:color w:val="000000"/>
        </w:rPr>
        <w:t>C</w:t>
      </w:r>
      <w:r w:rsidRPr="00400B7C">
        <w:rPr>
          <w:rFonts w:ascii="Calibri" w:hAnsi="Calibri" w:cs="Calibri"/>
          <w:color w:val="000000"/>
        </w:rPr>
        <w:t>ensus tracts.</w:t>
      </w:r>
      <w:r>
        <w:rPr>
          <w:rFonts w:ascii="Calibri" w:hAnsi="Calibri" w:cs="Calibri"/>
          <w:color w:val="000000"/>
        </w:rPr>
        <w:t xml:space="preserve"> </w:t>
      </w:r>
    </w:p>
    <w:p w14:paraId="448AD2D6" w14:textId="77777777" w:rsidR="00D4244E" w:rsidRDefault="00D4244E" w:rsidP="00D4244E">
      <w:pPr>
        <w:ind w:firstLine="720"/>
        <w:rPr>
          <w:rFonts w:ascii="Calibri" w:hAnsi="Calibri" w:cs="Calibri"/>
          <w:color w:val="000000"/>
        </w:rPr>
      </w:pPr>
      <w:r>
        <w:rPr>
          <w:rFonts w:ascii="Calibri" w:hAnsi="Calibri" w:cs="Calibri"/>
          <w:color w:val="000000"/>
        </w:rPr>
        <w:t>Varying</w:t>
      </w:r>
      <w:r w:rsidRPr="00E75419">
        <w:rPr>
          <w:rFonts w:ascii="Calibri" w:hAnsi="Calibri" w:cs="Calibri"/>
          <w:color w:val="000000"/>
        </w:rPr>
        <w:t xml:space="preserve"> time periods, </w:t>
      </w:r>
      <w:r>
        <w:rPr>
          <w:rFonts w:ascii="Calibri" w:hAnsi="Calibri" w:cs="Calibri"/>
          <w:color w:val="000000"/>
        </w:rPr>
        <w:t xml:space="preserve">proxy variables, </w:t>
      </w:r>
      <w:r w:rsidRPr="00E75419">
        <w:rPr>
          <w:rFonts w:ascii="Calibri" w:hAnsi="Calibri" w:cs="Calibri"/>
          <w:color w:val="000000"/>
        </w:rPr>
        <w:t xml:space="preserve">study areas, </w:t>
      </w:r>
      <w:r>
        <w:rPr>
          <w:rFonts w:ascii="Calibri" w:hAnsi="Calibri" w:cs="Calibri"/>
          <w:color w:val="000000"/>
        </w:rPr>
        <w:t xml:space="preserve">spatial units, and </w:t>
      </w:r>
      <w:r w:rsidRPr="00E75419">
        <w:rPr>
          <w:rFonts w:ascii="Calibri" w:hAnsi="Calibri" w:cs="Calibri"/>
          <w:color w:val="000000"/>
        </w:rPr>
        <w:t>data sources</w:t>
      </w:r>
      <w:r>
        <w:rPr>
          <w:rFonts w:ascii="Calibri" w:hAnsi="Calibri" w:cs="Calibri"/>
          <w:color w:val="000000"/>
        </w:rPr>
        <w:t xml:space="preserve"> can be found across neighborhood change literature. G</w:t>
      </w:r>
      <w:r w:rsidRPr="00E75419">
        <w:rPr>
          <w:rFonts w:ascii="Calibri" w:hAnsi="Calibri" w:cs="Calibri"/>
          <w:color w:val="000000"/>
        </w:rPr>
        <w:t>eographic scale</w:t>
      </w:r>
      <w:r>
        <w:rPr>
          <w:rFonts w:ascii="Calibri" w:hAnsi="Calibri" w:cs="Calibri"/>
          <w:color w:val="000000"/>
        </w:rPr>
        <w:t>s</w:t>
      </w:r>
      <w:r w:rsidRPr="00E75419">
        <w:rPr>
          <w:rFonts w:ascii="Calibri" w:hAnsi="Calibri" w:cs="Calibri"/>
          <w:color w:val="000000"/>
        </w:rPr>
        <w:t xml:space="preserve"> and contextual differences </w:t>
      </w:r>
      <w:r>
        <w:rPr>
          <w:rFonts w:ascii="Calibri" w:hAnsi="Calibri" w:cs="Calibri"/>
          <w:color w:val="000000"/>
        </w:rPr>
        <w:t xml:space="preserve">may be easily overlooked </w:t>
      </w:r>
      <w:r w:rsidRPr="00E75419">
        <w:rPr>
          <w:rFonts w:ascii="Calibri" w:hAnsi="Calibri" w:cs="Calibri"/>
          <w:color w:val="000000"/>
        </w:rPr>
        <w:t xml:space="preserve">across studies (Lees, 2000). </w:t>
      </w:r>
      <w:r>
        <w:rPr>
          <w:rFonts w:ascii="Calibri" w:hAnsi="Calibri" w:cs="Calibri"/>
          <w:color w:val="000000"/>
        </w:rPr>
        <w:t>N</w:t>
      </w:r>
      <w:r w:rsidRPr="00E75419">
        <w:rPr>
          <w:rFonts w:ascii="Calibri" w:hAnsi="Calibri" w:cs="Calibri"/>
          <w:color w:val="000000"/>
        </w:rPr>
        <w:t>ational</w:t>
      </w:r>
      <w:r>
        <w:rPr>
          <w:rFonts w:ascii="Calibri" w:hAnsi="Calibri" w:cs="Calibri"/>
          <w:color w:val="000000"/>
        </w:rPr>
        <w:t>-</w:t>
      </w:r>
      <w:r w:rsidRPr="00E75419">
        <w:rPr>
          <w:rFonts w:ascii="Calibri" w:hAnsi="Calibri" w:cs="Calibri"/>
          <w:color w:val="000000"/>
        </w:rPr>
        <w:t xml:space="preserve">scale studies </w:t>
      </w:r>
      <w:r>
        <w:rPr>
          <w:rFonts w:ascii="Calibri" w:hAnsi="Calibri" w:cs="Calibri"/>
          <w:color w:val="000000"/>
        </w:rPr>
        <w:t xml:space="preserve">are often limited </w:t>
      </w:r>
      <w:r w:rsidRPr="00E75419">
        <w:rPr>
          <w:rFonts w:ascii="Calibri" w:hAnsi="Calibri" w:cs="Calibri"/>
          <w:color w:val="000000"/>
        </w:rPr>
        <w:t xml:space="preserve">to </w:t>
      </w:r>
      <w:r>
        <w:rPr>
          <w:rFonts w:ascii="Calibri" w:hAnsi="Calibri" w:cs="Calibri"/>
          <w:color w:val="000000"/>
        </w:rPr>
        <w:t>high-level c</w:t>
      </w:r>
      <w:r w:rsidRPr="00E75419">
        <w:rPr>
          <w:rFonts w:ascii="Calibri" w:hAnsi="Calibri" w:cs="Calibri"/>
          <w:color w:val="000000"/>
        </w:rPr>
        <w:t>ensus data</w:t>
      </w:r>
      <w:r>
        <w:rPr>
          <w:rFonts w:ascii="Calibri" w:hAnsi="Calibri" w:cs="Calibri"/>
          <w:color w:val="000000"/>
        </w:rPr>
        <w:t>, which can</w:t>
      </w:r>
      <w:r w:rsidRPr="00E75419">
        <w:rPr>
          <w:rFonts w:ascii="Calibri" w:hAnsi="Calibri" w:cs="Calibri"/>
          <w:color w:val="000000"/>
        </w:rPr>
        <w:t xml:space="preserve"> </w:t>
      </w:r>
      <w:r>
        <w:rPr>
          <w:rFonts w:ascii="Calibri" w:hAnsi="Calibri" w:cs="Calibri"/>
          <w:color w:val="000000"/>
        </w:rPr>
        <w:t>mask</w:t>
      </w:r>
      <w:r w:rsidRPr="00E75419">
        <w:rPr>
          <w:rFonts w:ascii="Calibri" w:hAnsi="Calibri" w:cs="Calibri"/>
          <w:color w:val="000000"/>
        </w:rPr>
        <w:t xml:space="preserve"> important inter-city varia</w:t>
      </w:r>
      <w:r>
        <w:rPr>
          <w:rFonts w:ascii="Calibri" w:hAnsi="Calibri" w:cs="Calibri"/>
          <w:color w:val="000000"/>
        </w:rPr>
        <w:t>bilities</w:t>
      </w:r>
      <w:r w:rsidRPr="00E75419">
        <w:rPr>
          <w:rFonts w:ascii="Calibri" w:hAnsi="Calibri" w:cs="Calibri"/>
          <w:color w:val="000000"/>
        </w:rPr>
        <w:t>.</w:t>
      </w:r>
      <w:r>
        <w:rPr>
          <w:rFonts w:ascii="Calibri" w:hAnsi="Calibri" w:cs="Calibri"/>
          <w:color w:val="000000"/>
        </w:rPr>
        <w:t xml:space="preserve"> Whereas individual</w:t>
      </w:r>
      <w:r w:rsidRPr="00E75419">
        <w:rPr>
          <w:rFonts w:ascii="Calibri" w:hAnsi="Calibri" w:cs="Calibri"/>
          <w:color w:val="000000"/>
        </w:rPr>
        <w:t xml:space="preserve"> cit</w:t>
      </w:r>
      <w:r>
        <w:rPr>
          <w:rFonts w:ascii="Calibri" w:hAnsi="Calibri" w:cs="Calibri"/>
          <w:color w:val="000000"/>
        </w:rPr>
        <w:t>y studies</w:t>
      </w:r>
      <w:r w:rsidRPr="00E75419">
        <w:rPr>
          <w:rFonts w:ascii="Calibri" w:hAnsi="Calibri" w:cs="Calibri"/>
          <w:color w:val="000000"/>
        </w:rPr>
        <w:t xml:space="preserve"> tap</w:t>
      </w:r>
      <w:r>
        <w:rPr>
          <w:rFonts w:ascii="Calibri" w:hAnsi="Calibri" w:cs="Calibri"/>
          <w:color w:val="000000"/>
        </w:rPr>
        <w:t xml:space="preserve">ping </w:t>
      </w:r>
      <w:r w:rsidRPr="00E75419">
        <w:rPr>
          <w:rFonts w:ascii="Calibri" w:hAnsi="Calibri" w:cs="Calibri"/>
          <w:color w:val="000000"/>
        </w:rPr>
        <w:t>local-level data</w:t>
      </w:r>
      <w:r>
        <w:rPr>
          <w:rFonts w:ascii="Calibri" w:hAnsi="Calibri" w:cs="Calibri"/>
          <w:color w:val="000000"/>
        </w:rPr>
        <w:t xml:space="preserve"> may have</w:t>
      </w:r>
      <w:r w:rsidRPr="00E75419">
        <w:rPr>
          <w:rFonts w:ascii="Calibri" w:hAnsi="Calibri" w:cs="Calibri"/>
          <w:color w:val="000000"/>
        </w:rPr>
        <w:t xml:space="preserve"> </w:t>
      </w:r>
      <w:r>
        <w:rPr>
          <w:rFonts w:ascii="Calibri" w:hAnsi="Calibri" w:cs="Calibri"/>
          <w:color w:val="000000"/>
        </w:rPr>
        <w:t>incomparable</w:t>
      </w:r>
      <w:r w:rsidRPr="00E75419">
        <w:rPr>
          <w:rFonts w:ascii="Calibri" w:hAnsi="Calibri" w:cs="Calibri"/>
          <w:color w:val="000000"/>
        </w:rPr>
        <w:t xml:space="preserve"> demographics, policies,</w:t>
      </w:r>
      <w:r>
        <w:rPr>
          <w:rFonts w:ascii="Calibri" w:hAnsi="Calibri" w:cs="Calibri"/>
          <w:color w:val="000000"/>
        </w:rPr>
        <w:t xml:space="preserve"> paces,</w:t>
      </w:r>
      <w:r w:rsidRPr="00E75419">
        <w:rPr>
          <w:rFonts w:ascii="Calibri" w:hAnsi="Calibri" w:cs="Calibri"/>
          <w:color w:val="000000"/>
        </w:rPr>
        <w:t xml:space="preserve"> and </w:t>
      </w:r>
      <w:r>
        <w:rPr>
          <w:rFonts w:ascii="Calibri" w:hAnsi="Calibri" w:cs="Calibri"/>
          <w:color w:val="000000"/>
        </w:rPr>
        <w:t xml:space="preserve">other </w:t>
      </w:r>
      <w:r w:rsidRPr="00E75419">
        <w:rPr>
          <w:rFonts w:ascii="Calibri" w:hAnsi="Calibri" w:cs="Calibri"/>
          <w:color w:val="000000"/>
        </w:rPr>
        <w:t xml:space="preserve">external factors that </w:t>
      </w:r>
      <w:r>
        <w:rPr>
          <w:rFonts w:ascii="Calibri" w:hAnsi="Calibri" w:cs="Calibri"/>
          <w:color w:val="000000"/>
        </w:rPr>
        <w:t>limit</w:t>
      </w:r>
      <w:r w:rsidRPr="00E75419">
        <w:rPr>
          <w:rFonts w:ascii="Calibri" w:hAnsi="Calibri" w:cs="Calibri"/>
          <w:color w:val="000000"/>
        </w:rPr>
        <w:t xml:space="preserve"> generalization</w:t>
      </w:r>
      <w:r>
        <w:rPr>
          <w:rFonts w:ascii="Calibri" w:hAnsi="Calibri" w:cs="Calibri"/>
          <w:color w:val="000000"/>
        </w:rPr>
        <w:t xml:space="preserve"> to other cities</w:t>
      </w:r>
      <w:r w:rsidRPr="00E75419">
        <w:rPr>
          <w:rFonts w:ascii="Calibri" w:hAnsi="Calibri" w:cs="Calibri"/>
          <w:color w:val="000000"/>
        </w:rPr>
        <w:t>.</w:t>
      </w:r>
      <w:r>
        <w:rPr>
          <w:rFonts w:ascii="Calibri" w:hAnsi="Calibri" w:cs="Calibri"/>
          <w:color w:val="000000"/>
        </w:rPr>
        <w:t xml:space="preserve"> Finally, a</w:t>
      </w:r>
      <w:r w:rsidRPr="00E75419">
        <w:rPr>
          <w:rFonts w:ascii="Calibri" w:hAnsi="Calibri" w:cs="Calibri"/>
          <w:color w:val="000000"/>
        </w:rPr>
        <w:t>s gentrif</w:t>
      </w:r>
      <w:r>
        <w:rPr>
          <w:rFonts w:ascii="Calibri" w:hAnsi="Calibri" w:cs="Calibri"/>
          <w:color w:val="000000"/>
        </w:rPr>
        <w:t>ication progresses</w:t>
      </w:r>
      <w:r w:rsidRPr="00E75419">
        <w:rPr>
          <w:rFonts w:ascii="Calibri" w:hAnsi="Calibri" w:cs="Calibri"/>
          <w:color w:val="000000"/>
        </w:rPr>
        <w:t xml:space="preserve">, many displacement studies </w:t>
      </w:r>
      <w:r>
        <w:rPr>
          <w:rFonts w:ascii="Calibri" w:hAnsi="Calibri" w:cs="Calibri"/>
          <w:color w:val="000000"/>
        </w:rPr>
        <w:t>of the</w:t>
      </w:r>
      <w:r w:rsidRPr="00E75419">
        <w:rPr>
          <w:rFonts w:ascii="Calibri" w:hAnsi="Calibri" w:cs="Calibri"/>
          <w:color w:val="000000"/>
        </w:rPr>
        <w:t xml:space="preserve"> early </w:t>
      </w:r>
      <w:r>
        <w:rPr>
          <w:rFonts w:ascii="Calibri" w:hAnsi="Calibri" w:cs="Calibri"/>
          <w:color w:val="000000"/>
        </w:rPr>
        <w:t>millennium</w:t>
      </w:r>
      <w:r w:rsidRPr="00E75419">
        <w:rPr>
          <w:rFonts w:ascii="Calibri" w:hAnsi="Calibri" w:cs="Calibri"/>
          <w:color w:val="000000"/>
        </w:rPr>
        <w:t xml:space="preserve"> </w:t>
      </w:r>
      <w:r>
        <w:rPr>
          <w:rFonts w:ascii="Calibri" w:hAnsi="Calibri" w:cs="Calibri"/>
          <w:color w:val="000000"/>
        </w:rPr>
        <w:t>no longer represent current market conditions, consumer sentiment, or changing housing polices</w:t>
      </w:r>
      <w:r w:rsidRPr="00E75419">
        <w:rPr>
          <w:rFonts w:ascii="Calibri" w:hAnsi="Calibri" w:cs="Calibri"/>
          <w:color w:val="000000"/>
        </w:rPr>
        <w:t>.</w:t>
      </w:r>
    </w:p>
    <w:p w14:paraId="1CC73536" w14:textId="77777777" w:rsidR="00D4244E" w:rsidRDefault="00D4244E" w:rsidP="00D4244E">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xml:space="preserve">The shortcomings of threshold methods extend beyond simple inconsistency and instability. As we will show, these methods are susceptible to </w:t>
      </w:r>
      <w:r w:rsidRPr="00400B7C">
        <w:rPr>
          <w:rFonts w:ascii="Calibri" w:hAnsi="Calibri" w:cs="Calibri"/>
          <w:color w:val="000000"/>
        </w:rPr>
        <w:t xml:space="preserve">confirmation bias </w:t>
      </w:r>
      <w:r>
        <w:rPr>
          <w:rFonts w:ascii="Calibri" w:hAnsi="Calibri" w:cs="Calibri"/>
          <w:color w:val="000000"/>
        </w:rPr>
        <w:t>by</w:t>
      </w:r>
      <w:r w:rsidRPr="00400B7C">
        <w:rPr>
          <w:rFonts w:ascii="Calibri" w:hAnsi="Calibri" w:cs="Calibri"/>
          <w:color w:val="000000"/>
        </w:rPr>
        <w:t xml:space="preserve"> assum</w:t>
      </w:r>
      <w:r>
        <w:rPr>
          <w:rFonts w:ascii="Calibri" w:hAnsi="Calibri" w:cs="Calibri"/>
          <w:color w:val="000000"/>
        </w:rPr>
        <w:t>ing</w:t>
      </w:r>
      <w:r w:rsidRPr="00400B7C">
        <w:rPr>
          <w:rFonts w:ascii="Calibri" w:hAnsi="Calibri" w:cs="Calibri"/>
          <w:color w:val="000000"/>
        </w:rPr>
        <w:t xml:space="preserve"> </w:t>
      </w:r>
      <w:r w:rsidRPr="00400B7C">
        <w:rPr>
          <w:rFonts w:ascii="Calibri" w:hAnsi="Calibri" w:cs="Calibri"/>
          <w:i/>
          <w:iCs/>
          <w:color w:val="000000"/>
        </w:rPr>
        <w:t xml:space="preserve">a priori </w:t>
      </w:r>
      <w:r w:rsidRPr="00400B7C">
        <w:rPr>
          <w:rFonts w:ascii="Calibri" w:hAnsi="Calibri" w:cs="Calibri"/>
          <w:color w:val="000000"/>
        </w:rPr>
        <w:t xml:space="preserve">that gentrification is a significant neighborhood-shaping process within </w:t>
      </w:r>
      <w:r>
        <w:rPr>
          <w:rFonts w:ascii="Calibri" w:hAnsi="Calibri" w:cs="Calibri"/>
          <w:color w:val="000000"/>
        </w:rPr>
        <w:t>a specified city</w:t>
      </w:r>
      <w:r w:rsidRPr="00400B7C">
        <w:rPr>
          <w:rFonts w:ascii="Calibri" w:hAnsi="Calibri" w:cs="Calibri"/>
          <w:color w:val="000000"/>
        </w:rPr>
        <w:t xml:space="preserve"> and time. </w:t>
      </w:r>
      <w:r>
        <w:rPr>
          <w:rFonts w:ascii="Calibri" w:hAnsi="Calibri" w:cs="Calibri"/>
          <w:color w:val="000000"/>
        </w:rPr>
        <w:t>Such e</w:t>
      </w:r>
      <w:r w:rsidRPr="00400B7C">
        <w:rPr>
          <w:rFonts w:ascii="Calibri" w:hAnsi="Calibri" w:cs="Calibri"/>
          <w:color w:val="000000"/>
        </w:rPr>
        <w:t>xpectation</w:t>
      </w:r>
      <w:r>
        <w:rPr>
          <w:rFonts w:ascii="Calibri" w:hAnsi="Calibri" w:cs="Calibri"/>
          <w:color w:val="000000"/>
        </w:rPr>
        <w:t>s</w:t>
      </w:r>
      <w:r w:rsidRPr="00400B7C">
        <w:rPr>
          <w:rFonts w:ascii="Calibri" w:hAnsi="Calibri" w:cs="Calibri"/>
          <w:color w:val="000000"/>
        </w:rPr>
        <w:t xml:space="preserve"> </w:t>
      </w:r>
      <w:r>
        <w:rPr>
          <w:rFonts w:ascii="Calibri" w:hAnsi="Calibri" w:cs="Calibri"/>
          <w:color w:val="000000"/>
        </w:rPr>
        <w:t xml:space="preserve">are computationally </w:t>
      </w:r>
      <w:r w:rsidRPr="00400B7C">
        <w:rPr>
          <w:rFonts w:ascii="Calibri" w:hAnsi="Calibri" w:cs="Calibri"/>
          <w:color w:val="000000"/>
        </w:rPr>
        <w:t>fulfill</w:t>
      </w:r>
      <w:r>
        <w:rPr>
          <w:rFonts w:ascii="Calibri" w:hAnsi="Calibri" w:cs="Calibri"/>
          <w:color w:val="000000"/>
        </w:rPr>
        <w:t>ed</w:t>
      </w:r>
      <w:r w:rsidRPr="00400B7C">
        <w:rPr>
          <w:rFonts w:ascii="Calibri" w:hAnsi="Calibri" w:cs="Calibri"/>
          <w:color w:val="000000"/>
        </w:rPr>
        <w:t xml:space="preserve"> by comparing </w:t>
      </w:r>
      <w:r>
        <w:rPr>
          <w:rFonts w:ascii="Calibri" w:hAnsi="Calibri" w:cs="Calibri"/>
          <w:color w:val="000000"/>
        </w:rPr>
        <w:t xml:space="preserve">tract </w:t>
      </w:r>
      <w:r w:rsidRPr="00400B7C">
        <w:rPr>
          <w:rFonts w:ascii="Calibri" w:hAnsi="Calibri" w:cs="Calibri"/>
          <w:color w:val="000000"/>
        </w:rPr>
        <w:t>change</w:t>
      </w:r>
      <w:r>
        <w:rPr>
          <w:rFonts w:ascii="Calibri" w:hAnsi="Calibri" w:cs="Calibri"/>
          <w:color w:val="000000"/>
        </w:rPr>
        <w:t>s</w:t>
      </w:r>
      <w:r w:rsidRPr="00400B7C">
        <w:rPr>
          <w:rFonts w:ascii="Calibri" w:hAnsi="Calibri" w:cs="Calibri"/>
          <w:color w:val="000000"/>
        </w:rPr>
        <w:t xml:space="preserve"> to city-wide medians or averages, which </w:t>
      </w:r>
      <w:r>
        <w:rPr>
          <w:rFonts w:ascii="Calibri" w:hAnsi="Calibri" w:cs="Calibri"/>
          <w:color w:val="000000"/>
        </w:rPr>
        <w:t>invariably label areas as</w:t>
      </w:r>
      <w:r w:rsidRPr="00400B7C">
        <w:rPr>
          <w:rFonts w:ascii="Calibri" w:hAnsi="Calibri" w:cs="Calibri"/>
          <w:color w:val="000000"/>
        </w:rPr>
        <w:t xml:space="preserve"> gentrifying</w:t>
      </w:r>
      <w:r>
        <w:rPr>
          <w:rFonts w:ascii="Calibri" w:hAnsi="Calibri" w:cs="Calibri"/>
          <w:color w:val="000000"/>
        </w:rPr>
        <w:t>,</w:t>
      </w:r>
      <w:r w:rsidRPr="00400B7C">
        <w:rPr>
          <w:rFonts w:ascii="Calibri" w:hAnsi="Calibri" w:cs="Calibri"/>
          <w:color w:val="000000"/>
        </w:rPr>
        <w:t xml:space="preserve"> regardless of </w:t>
      </w:r>
      <w:proofErr w:type="gramStart"/>
      <w:r w:rsidRPr="00400B7C">
        <w:rPr>
          <w:rFonts w:ascii="Calibri" w:hAnsi="Calibri" w:cs="Calibri"/>
          <w:color w:val="000000"/>
        </w:rPr>
        <w:t>time period</w:t>
      </w:r>
      <w:proofErr w:type="gramEnd"/>
      <w:r w:rsidRPr="00400B7C">
        <w:rPr>
          <w:rFonts w:ascii="Calibri" w:hAnsi="Calibri" w:cs="Calibri"/>
          <w:color w:val="000000"/>
        </w:rPr>
        <w:t xml:space="preserve"> </w:t>
      </w:r>
      <w:r>
        <w:rPr>
          <w:rFonts w:ascii="Calibri" w:hAnsi="Calibri" w:cs="Calibri"/>
          <w:color w:val="000000"/>
        </w:rPr>
        <w:t>or</w:t>
      </w:r>
      <w:r w:rsidRPr="00400B7C">
        <w:rPr>
          <w:rFonts w:ascii="Calibri" w:hAnsi="Calibri" w:cs="Calibri"/>
          <w:color w:val="000000"/>
        </w:rPr>
        <w:t xml:space="preserve"> city</w:t>
      </w:r>
      <w:r>
        <w:rPr>
          <w:rStyle w:val="FootnoteReference"/>
          <w:rFonts w:ascii="Calibri" w:hAnsi="Calibri" w:cs="Calibri"/>
          <w:color w:val="000000"/>
        </w:rPr>
        <w:footnoteReference w:id="3"/>
      </w:r>
      <w:r w:rsidRPr="00400B7C">
        <w:rPr>
          <w:rFonts w:ascii="Calibri" w:hAnsi="Calibri" w:cs="Calibri"/>
          <w:color w:val="000000"/>
        </w:rPr>
        <w:t>.</w:t>
      </w:r>
      <w:r>
        <w:rPr>
          <w:rFonts w:ascii="Calibri" w:hAnsi="Calibri" w:cs="Calibri"/>
          <w:color w:val="000000"/>
        </w:rPr>
        <w:t xml:space="preserve"> The method’s use of relative thresholds </w:t>
      </w:r>
      <w:proofErr w:type="gramStart"/>
      <w:r>
        <w:rPr>
          <w:rFonts w:ascii="Calibri" w:hAnsi="Calibri" w:cs="Calibri"/>
          <w:color w:val="000000"/>
        </w:rPr>
        <w:t>ensure</w:t>
      </w:r>
      <w:proofErr w:type="gramEnd"/>
      <w:r>
        <w:rPr>
          <w:rFonts w:ascii="Calibri" w:hAnsi="Calibri" w:cs="Calibri"/>
          <w:color w:val="000000"/>
        </w:rPr>
        <w:t xml:space="preserve"> its own success by conforming the process to its predetermined framework. </w:t>
      </w:r>
      <w:r w:rsidRPr="00400B7C">
        <w:rPr>
          <w:rFonts w:ascii="Calibri" w:hAnsi="Calibri" w:cs="Calibri"/>
          <w:color w:val="000000"/>
        </w:rPr>
        <w:t xml:space="preserve"> </w:t>
      </w:r>
      <w:r>
        <w:rPr>
          <w:rFonts w:ascii="Calibri" w:hAnsi="Calibri" w:cs="Calibri"/>
          <w:color w:val="000000"/>
        </w:rPr>
        <w:t xml:space="preserve">Finally, additional </w:t>
      </w:r>
      <w:r w:rsidRPr="00400B7C">
        <w:rPr>
          <w:rFonts w:ascii="Calibri" w:hAnsi="Calibri" w:cs="Calibri"/>
          <w:color w:val="000000"/>
        </w:rPr>
        <w:t>social, economic, and built environment variables</w:t>
      </w:r>
      <w:r>
        <w:rPr>
          <w:rFonts w:ascii="Calibri" w:hAnsi="Calibri" w:cs="Calibri"/>
          <w:color w:val="000000"/>
        </w:rPr>
        <w:t xml:space="preserve"> are incompatible with threshold methods because</w:t>
      </w:r>
      <w:r w:rsidRPr="00400B7C">
        <w:rPr>
          <w:rFonts w:ascii="Calibri" w:hAnsi="Calibri" w:cs="Calibri"/>
          <w:color w:val="000000"/>
        </w:rPr>
        <w:t xml:space="preserve"> </w:t>
      </w:r>
      <w:r>
        <w:rPr>
          <w:rFonts w:ascii="Calibri" w:hAnsi="Calibri" w:cs="Calibri"/>
          <w:color w:val="000000"/>
        </w:rPr>
        <w:t>a</w:t>
      </w:r>
      <w:r w:rsidRPr="00400B7C">
        <w:rPr>
          <w:rFonts w:ascii="Calibri" w:hAnsi="Calibri" w:cs="Calibri"/>
          <w:color w:val="000000"/>
        </w:rPr>
        <w:t>dd</w:t>
      </w:r>
      <w:r>
        <w:rPr>
          <w:rFonts w:ascii="Calibri" w:hAnsi="Calibri" w:cs="Calibri"/>
          <w:color w:val="000000"/>
        </w:rPr>
        <w:t>ing more threshold</w:t>
      </w:r>
      <w:r w:rsidRPr="00400B7C">
        <w:rPr>
          <w:rFonts w:ascii="Calibri" w:hAnsi="Calibri" w:cs="Calibri"/>
          <w:color w:val="000000"/>
        </w:rPr>
        <w:t xml:space="preserve"> criteria</w:t>
      </w:r>
      <w:r>
        <w:rPr>
          <w:rFonts w:ascii="Calibri" w:hAnsi="Calibri" w:cs="Calibri"/>
          <w:color w:val="000000"/>
        </w:rPr>
        <w:t xml:space="preserve"> </w:t>
      </w:r>
      <w:r w:rsidRPr="00400B7C">
        <w:rPr>
          <w:rFonts w:ascii="Calibri" w:hAnsi="Calibri" w:cs="Calibri"/>
          <w:color w:val="000000"/>
        </w:rPr>
        <w:t>guarantee</w:t>
      </w:r>
      <w:r>
        <w:rPr>
          <w:rFonts w:ascii="Calibri" w:hAnsi="Calibri" w:cs="Calibri"/>
          <w:color w:val="000000"/>
        </w:rPr>
        <w:t>s that</w:t>
      </w:r>
      <w:r w:rsidRPr="00400B7C">
        <w:rPr>
          <w:rFonts w:ascii="Calibri" w:hAnsi="Calibri" w:cs="Calibri"/>
          <w:color w:val="000000"/>
        </w:rPr>
        <w:t xml:space="preserve"> fewer </w:t>
      </w:r>
      <w:r>
        <w:rPr>
          <w:rFonts w:ascii="Calibri" w:hAnsi="Calibri" w:cs="Calibri"/>
          <w:color w:val="000000"/>
        </w:rPr>
        <w:t xml:space="preserve">and fewer </w:t>
      </w:r>
      <w:r w:rsidRPr="00400B7C">
        <w:rPr>
          <w:rFonts w:ascii="Calibri" w:hAnsi="Calibri" w:cs="Calibri"/>
          <w:color w:val="000000"/>
        </w:rPr>
        <w:t>areas</w:t>
      </w:r>
      <w:r>
        <w:rPr>
          <w:rFonts w:ascii="Calibri" w:hAnsi="Calibri" w:cs="Calibri"/>
          <w:color w:val="000000"/>
        </w:rPr>
        <w:t xml:space="preserve"> will be</w:t>
      </w:r>
      <w:r w:rsidRPr="00400B7C">
        <w:rPr>
          <w:rFonts w:ascii="Calibri" w:hAnsi="Calibri" w:cs="Calibri"/>
          <w:color w:val="000000"/>
        </w:rPr>
        <w:t xml:space="preserve"> </w:t>
      </w:r>
      <w:r>
        <w:rPr>
          <w:rFonts w:ascii="Calibri" w:hAnsi="Calibri" w:cs="Calibri"/>
          <w:color w:val="000000"/>
        </w:rPr>
        <w:t>considered</w:t>
      </w:r>
      <w:r w:rsidRPr="00400B7C">
        <w:rPr>
          <w:rFonts w:ascii="Calibri" w:hAnsi="Calibri" w:cs="Calibri"/>
          <w:color w:val="000000"/>
        </w:rPr>
        <w:t xml:space="preserve"> gentrified</w:t>
      </w:r>
      <w:r>
        <w:rPr>
          <w:rFonts w:ascii="Calibri" w:hAnsi="Calibri" w:cs="Calibri"/>
          <w:color w:val="000000"/>
        </w:rPr>
        <w:t>,</w:t>
      </w:r>
      <w:r w:rsidRPr="00400B7C">
        <w:rPr>
          <w:rFonts w:ascii="Calibri" w:hAnsi="Calibri" w:cs="Calibri"/>
          <w:color w:val="000000"/>
        </w:rPr>
        <w:t xml:space="preserve"> unless threshold values are</w:t>
      </w:r>
      <w:r>
        <w:rPr>
          <w:rFonts w:ascii="Calibri" w:hAnsi="Calibri" w:cs="Calibri"/>
          <w:color w:val="000000"/>
        </w:rPr>
        <w:t xml:space="preserve"> simultaneously</w:t>
      </w:r>
      <w:r w:rsidRPr="00400B7C">
        <w:rPr>
          <w:rFonts w:ascii="Calibri" w:hAnsi="Calibri" w:cs="Calibri"/>
          <w:color w:val="000000"/>
        </w:rPr>
        <w:t xml:space="preserve"> broadened. </w:t>
      </w:r>
    </w:p>
    <w:p w14:paraId="21510773" w14:textId="77777777" w:rsidR="00D4244E" w:rsidRDefault="00D4244E" w:rsidP="00D4244E">
      <w:pPr>
        <w:rPr>
          <w:rFonts w:ascii="Calibri" w:hAnsi="Calibri" w:cs="Calibri"/>
          <w:color w:val="000000"/>
        </w:rPr>
      </w:pPr>
    </w:p>
    <w:p w14:paraId="3C978E69" w14:textId="77777777" w:rsidR="00D4244E" w:rsidRPr="00400B7C" w:rsidRDefault="00D4244E" w:rsidP="00D4244E">
      <w:pPr>
        <w:pStyle w:val="Heading4"/>
      </w:pPr>
      <w:r>
        <w:t>Threshold sensitivity</w:t>
      </w:r>
    </w:p>
    <w:p w14:paraId="1D3F1E80" w14:textId="77777777" w:rsidR="00D4244E" w:rsidRPr="0050169B" w:rsidRDefault="00D4244E" w:rsidP="00D4244E">
      <w:pPr>
        <w:ind w:firstLine="720"/>
        <w:rPr>
          <w:rFonts w:cstheme="minorHAnsi"/>
        </w:rPr>
      </w:pPr>
      <w:r>
        <w:rPr>
          <w:rFonts w:cstheme="minorHAnsi"/>
        </w:rPr>
        <w:t xml:space="preserve">Given the various methods used to identify gentrification, we highlight the results produced by three seminal gentrification studies: Freeman (2005), Ellen and </w:t>
      </w:r>
      <w:proofErr w:type="spellStart"/>
      <w:r>
        <w:rPr>
          <w:rFonts w:cstheme="minorHAnsi"/>
        </w:rPr>
        <w:t>O’Regan</w:t>
      </w:r>
      <w:proofErr w:type="spellEnd"/>
      <w:r>
        <w:rPr>
          <w:rFonts w:cstheme="minorHAnsi"/>
        </w:rPr>
        <w:t xml:space="preserve"> (2010), and </w:t>
      </w:r>
      <w:proofErr w:type="spellStart"/>
      <w:r>
        <w:rPr>
          <w:rFonts w:cstheme="minorHAnsi"/>
        </w:rPr>
        <w:t>McKinnish</w:t>
      </w:r>
      <w:proofErr w:type="spellEnd"/>
      <w:r>
        <w:rPr>
          <w:rFonts w:cstheme="minorHAnsi"/>
        </w:rPr>
        <w:t xml:space="preserve"> et al. (2010)</w:t>
      </w:r>
      <w:r>
        <w:rPr>
          <w:rStyle w:val="FootnoteReference"/>
          <w:rFonts w:cstheme="minorHAnsi"/>
        </w:rPr>
        <w:footnoteReference w:id="4"/>
      </w:r>
      <w:r>
        <w:rPr>
          <w:rFonts w:cstheme="minorHAnsi"/>
        </w:rPr>
        <w:t xml:space="preserve">. </w:t>
      </w:r>
      <w:r w:rsidRPr="0050169B">
        <w:rPr>
          <w:rFonts w:cstheme="minorHAnsi"/>
        </w:rPr>
        <w:t xml:space="preserve">Enterprise Community Partners </w:t>
      </w:r>
      <w:r w:rsidRPr="0050169B">
        <w:rPr>
          <w:rFonts w:cstheme="minorHAnsi"/>
        </w:rPr>
        <w:fldChar w:fldCharType="begin"/>
      </w:r>
      <w:r w:rsidRPr="0050169B">
        <w:rPr>
          <w:rFonts w:cstheme="minorHAnsi"/>
        </w:rPr>
        <w:instrText xml:space="preserve"> ADDIN ZOTERO_ITEM CSL_CITATION {"citationID":"2oKxq006","properties":{"formattedCitation":"(2019)","plainCitation":"(2019)","noteIndex":0},"citationItems":[{"id":550,"uris":["http://zotero.org/users/local/Cf6g054j/items/GZFZIDEZ"],"uri":["http://zotero.org/users/local/Cf6g054j/items/GZFZIDEZ"],"itemData":{"id":550,"type":"webpage","title":"Gentrification Comparison Tool","URL":"https://www.enterprisecommunity.org/policy-and-advocacy/policy-development-and-research/gentrification-comparison-tool","author":[{"family":"Enterprise Community Partners","given":""}],"issued":{"date-parts":[["2019"]]},"accessed":{"date-parts":[["2019",6,7]]}},"suppress-author":true}],"schema":"https://github.com/citation-style-language/schema/raw/master/csl-citation.json"} </w:instrText>
      </w:r>
      <w:r w:rsidRPr="0050169B">
        <w:rPr>
          <w:rFonts w:cstheme="minorHAnsi"/>
        </w:rPr>
        <w:fldChar w:fldCharType="separate"/>
      </w:r>
      <w:r w:rsidRPr="0050169B">
        <w:rPr>
          <w:rFonts w:cstheme="minorHAnsi"/>
        </w:rPr>
        <w:t>(2019)</w:t>
      </w:r>
      <w:r w:rsidRPr="0050169B">
        <w:rPr>
          <w:rFonts w:cstheme="minorHAnsi"/>
        </w:rPr>
        <w:fldChar w:fldCharType="end"/>
      </w:r>
      <w:r w:rsidRPr="0050169B">
        <w:rPr>
          <w:rFonts w:cstheme="minorHAnsi"/>
        </w:rPr>
        <w:t xml:space="preserve"> online Gentrification Comparison Tool (GCT) </w:t>
      </w:r>
      <w:r>
        <w:rPr>
          <w:rFonts w:cstheme="minorHAnsi"/>
        </w:rPr>
        <w:t>allows users to compare the three m</w:t>
      </w:r>
      <w:r w:rsidRPr="0050169B">
        <w:rPr>
          <w:rFonts w:cstheme="minorHAnsi"/>
        </w:rPr>
        <w:t>ethodolog</w:t>
      </w:r>
      <w:r>
        <w:rPr>
          <w:rFonts w:cstheme="minorHAnsi"/>
        </w:rPr>
        <w:t xml:space="preserve">ies used to </w:t>
      </w:r>
      <w:r w:rsidRPr="0050169B">
        <w:rPr>
          <w:rFonts w:cstheme="minorHAnsi"/>
        </w:rPr>
        <w:t>identify gentrification across 93 cities</w:t>
      </w:r>
      <w:r>
        <w:rPr>
          <w:rFonts w:cstheme="minorHAnsi"/>
        </w:rPr>
        <w:t xml:space="preserve"> and four 10-year periods</w:t>
      </w:r>
      <w:r w:rsidRPr="0050169B">
        <w:rPr>
          <w:rFonts w:cstheme="minorHAnsi"/>
        </w:rPr>
        <w:t>.</w:t>
      </w:r>
      <w:r>
        <w:rPr>
          <w:rFonts w:cstheme="minorHAnsi"/>
        </w:rPr>
        <w:t xml:space="preserve"> </w:t>
      </w:r>
    </w:p>
    <w:p w14:paraId="1981CB80" w14:textId="77777777" w:rsidR="00D4244E" w:rsidRPr="00C96B55" w:rsidRDefault="00D4244E" w:rsidP="00D4244E">
      <w:pPr>
        <w:ind w:firstLine="720"/>
        <w:rPr>
          <w:rFonts w:cstheme="minorHAnsi"/>
        </w:rPr>
      </w:pPr>
      <w:r w:rsidRPr="0050169B">
        <w:rPr>
          <w:rFonts w:cstheme="minorHAnsi"/>
        </w:rPr>
        <w:lastRenderedPageBreak/>
        <w:t xml:space="preserve">Each </w:t>
      </w:r>
      <w:r>
        <w:rPr>
          <w:rFonts w:cstheme="minorHAnsi"/>
        </w:rPr>
        <w:t>method</w:t>
      </w:r>
      <w:r w:rsidRPr="0050169B">
        <w:rPr>
          <w:rFonts w:cstheme="minorHAnsi"/>
        </w:rPr>
        <w:t xml:space="preserve"> uses a different </w:t>
      </w:r>
      <w:r>
        <w:rPr>
          <w:rFonts w:cstheme="minorHAnsi"/>
        </w:rPr>
        <w:t>eligibility precondition:</w:t>
      </w:r>
      <w:r w:rsidRPr="0050169B">
        <w:rPr>
          <w:rFonts w:cstheme="minorHAnsi"/>
        </w:rPr>
        <w:t xml:space="preserve"> the 50</w:t>
      </w:r>
      <w:r w:rsidRPr="0050169B">
        <w:rPr>
          <w:rFonts w:cstheme="minorHAnsi"/>
          <w:vertAlign w:val="superscript"/>
        </w:rPr>
        <w:t>th</w:t>
      </w:r>
      <w:r w:rsidRPr="0050169B">
        <w:rPr>
          <w:rFonts w:cstheme="minorHAnsi"/>
        </w:rPr>
        <w:t xml:space="preserve"> percentile </w:t>
      </w:r>
      <w:r>
        <w:rPr>
          <w:rFonts w:cstheme="minorHAnsi"/>
        </w:rPr>
        <w:t xml:space="preserve">of metro-wide </w:t>
      </w:r>
      <w:r w:rsidRPr="00E825DC">
        <w:rPr>
          <w:rFonts w:cstheme="minorHAnsi"/>
          <w:i/>
          <w:iCs/>
        </w:rPr>
        <w:t>median</w:t>
      </w:r>
      <w:r w:rsidRPr="0050169B">
        <w:rPr>
          <w:rFonts w:cstheme="minorHAnsi"/>
        </w:rPr>
        <w:t xml:space="preserve"> household income</w:t>
      </w:r>
      <w:r>
        <w:rPr>
          <w:rFonts w:cstheme="minorHAnsi"/>
        </w:rPr>
        <w:t>,</w:t>
      </w:r>
      <w:r w:rsidRPr="0050169B">
        <w:rPr>
          <w:rFonts w:cstheme="minorHAnsi"/>
        </w:rPr>
        <w:t xml:space="preserve"> 70</w:t>
      </w:r>
      <w:r w:rsidRPr="0050169B">
        <w:rPr>
          <w:rFonts w:cstheme="minorHAnsi"/>
          <w:vertAlign w:val="superscript"/>
        </w:rPr>
        <w:t>th</w:t>
      </w:r>
      <w:r w:rsidRPr="0050169B">
        <w:rPr>
          <w:rFonts w:cstheme="minorHAnsi"/>
        </w:rPr>
        <w:t xml:space="preserve"> percentile </w:t>
      </w:r>
      <w:r>
        <w:rPr>
          <w:rFonts w:cstheme="minorHAnsi"/>
        </w:rPr>
        <w:t xml:space="preserve">metro-wide </w:t>
      </w:r>
      <w:r w:rsidRPr="00E825DC">
        <w:rPr>
          <w:rFonts w:cstheme="minorHAnsi"/>
          <w:i/>
          <w:iCs/>
        </w:rPr>
        <w:t>average</w:t>
      </w:r>
      <w:r w:rsidRPr="0050169B">
        <w:rPr>
          <w:rFonts w:cstheme="minorHAnsi"/>
        </w:rPr>
        <w:t xml:space="preserve"> household income</w:t>
      </w:r>
      <w:r>
        <w:rPr>
          <w:rFonts w:cstheme="minorHAnsi"/>
        </w:rPr>
        <w:t>, and</w:t>
      </w:r>
      <w:r w:rsidRPr="0050169B">
        <w:rPr>
          <w:rFonts w:cstheme="minorHAnsi"/>
        </w:rPr>
        <w:t xml:space="preserve"> the 20</w:t>
      </w:r>
      <w:r w:rsidRPr="0050169B">
        <w:rPr>
          <w:rFonts w:cstheme="minorHAnsi"/>
          <w:vertAlign w:val="superscript"/>
        </w:rPr>
        <w:t>th</w:t>
      </w:r>
      <w:r w:rsidRPr="0050169B">
        <w:rPr>
          <w:rFonts w:cstheme="minorHAnsi"/>
        </w:rPr>
        <w:t xml:space="preserve"> percentile </w:t>
      </w:r>
      <w:r>
        <w:rPr>
          <w:rFonts w:cstheme="minorHAnsi"/>
        </w:rPr>
        <w:t xml:space="preserve">nation-wide </w:t>
      </w:r>
      <w:r w:rsidRPr="00981265">
        <w:rPr>
          <w:rFonts w:cstheme="minorHAnsi"/>
          <w:i/>
          <w:iCs/>
        </w:rPr>
        <w:t>average</w:t>
      </w:r>
      <w:r w:rsidRPr="0050169B">
        <w:rPr>
          <w:rFonts w:cstheme="minorHAnsi"/>
        </w:rPr>
        <w:t xml:space="preserve"> family income.  </w:t>
      </w:r>
      <w:r w:rsidRPr="00981265">
        <w:rPr>
          <w:rFonts w:ascii="Calibri" w:hAnsi="Calibri" w:cs="Calibri"/>
          <w:color w:val="000000"/>
        </w:rPr>
        <w:t>Freeman</w:t>
      </w:r>
      <w:r>
        <w:rPr>
          <w:rFonts w:ascii="Calibri" w:hAnsi="Calibri" w:cs="Calibri"/>
          <w:color w:val="000000"/>
        </w:rPr>
        <w:t>’s</w:t>
      </w:r>
      <w:r w:rsidRPr="00981265">
        <w:rPr>
          <w:rFonts w:ascii="Calibri" w:hAnsi="Calibri" w:cs="Calibri"/>
          <w:color w:val="000000"/>
        </w:rPr>
        <w:t xml:space="preserve"> (2005) median household income threshold </w:t>
      </w:r>
      <w:r>
        <w:rPr>
          <w:rFonts w:ascii="Calibri" w:hAnsi="Calibri" w:cs="Calibri"/>
          <w:color w:val="000000"/>
        </w:rPr>
        <w:t>contains</w:t>
      </w:r>
      <w:r w:rsidRPr="00981265">
        <w:rPr>
          <w:rFonts w:ascii="Calibri" w:hAnsi="Calibri" w:cs="Calibri"/>
          <w:color w:val="000000"/>
        </w:rPr>
        <w:t xml:space="preserve"> </w:t>
      </w:r>
      <w:r>
        <w:rPr>
          <w:rFonts w:ascii="Calibri" w:hAnsi="Calibri" w:cs="Calibri"/>
          <w:color w:val="000000"/>
        </w:rPr>
        <w:t>notably admits</w:t>
      </w:r>
      <w:r w:rsidRPr="00981265">
        <w:rPr>
          <w:rFonts w:ascii="Calibri" w:hAnsi="Calibri" w:cs="Calibri"/>
          <w:color w:val="000000"/>
        </w:rPr>
        <w:t xml:space="preserve"> that “</w:t>
      </w:r>
      <w:r w:rsidRPr="00981265">
        <w:rPr>
          <w:rFonts w:ascii="Calibri" w:hAnsi="Calibri" w:cs="Calibri"/>
          <w:i/>
          <w:iCs/>
          <w:color w:val="000000"/>
        </w:rPr>
        <w:t>the median is an admittedly arbitrary threshold.”</w:t>
      </w:r>
      <w:r>
        <w:rPr>
          <w:rStyle w:val="FootnoteReference"/>
          <w:rFonts w:ascii="Calibri" w:hAnsi="Calibri" w:cs="Calibri"/>
          <w:i/>
          <w:iCs/>
          <w:color w:val="000000"/>
        </w:rPr>
        <w:footnoteReference w:id="5"/>
      </w:r>
    </w:p>
    <w:p w14:paraId="2368AD6A" w14:textId="77777777" w:rsidR="00D4244E" w:rsidRPr="00525903" w:rsidRDefault="00D4244E" w:rsidP="00D4244E">
      <w:pPr>
        <w:pStyle w:val="Caption"/>
        <w:keepNext/>
        <w:jc w:val="center"/>
        <w:rPr>
          <w:sz w:val="20"/>
          <w:szCs w:val="20"/>
        </w:rPr>
      </w:pPr>
      <w:r w:rsidRPr="00525903">
        <w:rPr>
          <w:sz w:val="20"/>
          <w:szCs w:val="20"/>
        </w:rPr>
        <w:t xml:space="preserve">Table </w:t>
      </w:r>
      <w:r w:rsidRPr="00525903">
        <w:rPr>
          <w:sz w:val="20"/>
          <w:szCs w:val="20"/>
        </w:rPr>
        <w:fldChar w:fldCharType="begin"/>
      </w:r>
      <w:r w:rsidRPr="00525903">
        <w:rPr>
          <w:sz w:val="20"/>
          <w:szCs w:val="20"/>
        </w:rPr>
        <w:instrText xml:space="preserve"> SEQ Table \* ARABIC </w:instrText>
      </w:r>
      <w:r w:rsidRPr="00525903">
        <w:rPr>
          <w:sz w:val="20"/>
          <w:szCs w:val="20"/>
        </w:rPr>
        <w:fldChar w:fldCharType="separate"/>
      </w:r>
      <w:r w:rsidRPr="00525903">
        <w:rPr>
          <w:noProof/>
          <w:sz w:val="20"/>
          <w:szCs w:val="20"/>
        </w:rPr>
        <w:t>1</w:t>
      </w:r>
      <w:r w:rsidRPr="00525903">
        <w:rPr>
          <w:sz w:val="20"/>
          <w:szCs w:val="20"/>
        </w:rPr>
        <w:fldChar w:fldCharType="end"/>
      </w:r>
      <w:r w:rsidRPr="00525903">
        <w:rPr>
          <w:sz w:val="20"/>
          <w:szCs w:val="20"/>
        </w:rPr>
        <w:t xml:space="preserve">. Eligibility and gentrification criteria as applied by Freeman (2005), Ellen and </w:t>
      </w:r>
      <w:proofErr w:type="spellStart"/>
      <w:r w:rsidRPr="00525903">
        <w:rPr>
          <w:sz w:val="20"/>
          <w:szCs w:val="20"/>
        </w:rPr>
        <w:t>O'Regan</w:t>
      </w:r>
      <w:proofErr w:type="spellEnd"/>
      <w:r w:rsidRPr="00525903">
        <w:rPr>
          <w:sz w:val="20"/>
          <w:szCs w:val="20"/>
        </w:rPr>
        <w:t xml:space="preserve"> (2010), and </w:t>
      </w:r>
      <w:proofErr w:type="spellStart"/>
      <w:r w:rsidRPr="00525903">
        <w:rPr>
          <w:sz w:val="20"/>
          <w:szCs w:val="20"/>
        </w:rPr>
        <w:t>McKinnish</w:t>
      </w:r>
      <w:proofErr w:type="spellEnd"/>
      <w:r w:rsidRPr="00525903">
        <w:rPr>
          <w:sz w:val="20"/>
          <w:szCs w:val="20"/>
        </w:rPr>
        <w:t xml:space="preserve"> et al. (2010).</w:t>
      </w:r>
    </w:p>
    <w:tbl>
      <w:tblPr>
        <w:tblW w:w="9092" w:type="dxa"/>
        <w:tblLook w:val="04A0" w:firstRow="1" w:lastRow="0" w:firstColumn="1" w:lastColumn="0" w:noHBand="0" w:noVBand="1"/>
      </w:tblPr>
      <w:tblGrid>
        <w:gridCol w:w="1166"/>
        <w:gridCol w:w="2533"/>
        <w:gridCol w:w="2569"/>
        <w:gridCol w:w="2824"/>
      </w:tblGrid>
      <w:tr w:rsidR="00D4244E" w:rsidRPr="002C3C8F" w14:paraId="551E6F37" w14:textId="77777777" w:rsidTr="00537669">
        <w:trPr>
          <w:trHeight w:val="263"/>
        </w:trPr>
        <w:tc>
          <w:tcPr>
            <w:tcW w:w="1166" w:type="dxa"/>
            <w:tcBorders>
              <w:top w:val="single" w:sz="4" w:space="0" w:color="auto"/>
              <w:left w:val="nil"/>
              <w:bottom w:val="single" w:sz="4" w:space="0" w:color="auto"/>
              <w:right w:val="nil"/>
            </w:tcBorders>
            <w:shd w:val="clear" w:color="auto" w:fill="auto"/>
            <w:vAlign w:val="center"/>
            <w:hideMark/>
          </w:tcPr>
          <w:p w14:paraId="01D19307" w14:textId="77777777" w:rsidR="00D4244E" w:rsidRPr="002C3C8F" w:rsidRDefault="00D4244E" w:rsidP="00537669">
            <w:pPr>
              <w:spacing w:after="0" w:line="240" w:lineRule="auto"/>
              <w:rPr>
                <w:rFonts w:ascii="Calibri" w:eastAsia="Times New Roman" w:hAnsi="Calibri" w:cs="Calibri"/>
                <w:color w:val="000000"/>
                <w:sz w:val="20"/>
                <w:szCs w:val="20"/>
              </w:rPr>
            </w:pPr>
            <w:r w:rsidRPr="002C3C8F">
              <w:rPr>
                <w:rFonts w:ascii="Calibri" w:eastAsia="Times New Roman" w:hAnsi="Calibri" w:cs="Calibri"/>
                <w:color w:val="000000"/>
                <w:sz w:val="20"/>
                <w:szCs w:val="20"/>
              </w:rPr>
              <w:t> </w:t>
            </w:r>
          </w:p>
        </w:tc>
        <w:tc>
          <w:tcPr>
            <w:tcW w:w="2533" w:type="dxa"/>
            <w:tcBorders>
              <w:top w:val="single" w:sz="4" w:space="0" w:color="auto"/>
              <w:left w:val="nil"/>
              <w:bottom w:val="single" w:sz="4" w:space="0" w:color="auto"/>
              <w:right w:val="nil"/>
            </w:tcBorders>
            <w:shd w:val="clear" w:color="auto" w:fill="auto"/>
            <w:vAlign w:val="center"/>
            <w:hideMark/>
          </w:tcPr>
          <w:p w14:paraId="60022D03" w14:textId="77777777" w:rsidR="00D4244E" w:rsidRPr="002C3C8F" w:rsidRDefault="00D4244E" w:rsidP="00537669">
            <w:pPr>
              <w:spacing w:after="0" w:line="240" w:lineRule="auto"/>
              <w:jc w:val="center"/>
              <w:rPr>
                <w:rFonts w:ascii="Calibri" w:eastAsia="Times New Roman" w:hAnsi="Calibri" w:cs="Calibri"/>
                <w:b/>
                <w:bCs/>
                <w:color w:val="000000"/>
                <w:sz w:val="20"/>
                <w:szCs w:val="20"/>
              </w:rPr>
            </w:pPr>
            <w:r w:rsidRPr="002C3C8F">
              <w:rPr>
                <w:rFonts w:ascii="Calibri" w:eastAsia="Times New Roman" w:hAnsi="Calibri" w:cs="Calibri"/>
                <w:b/>
                <w:bCs/>
                <w:color w:val="000000"/>
                <w:sz w:val="20"/>
                <w:szCs w:val="20"/>
              </w:rPr>
              <w:t>Freeman</w:t>
            </w:r>
          </w:p>
        </w:tc>
        <w:tc>
          <w:tcPr>
            <w:tcW w:w="2569" w:type="dxa"/>
            <w:tcBorders>
              <w:top w:val="single" w:sz="4" w:space="0" w:color="auto"/>
              <w:left w:val="nil"/>
              <w:bottom w:val="single" w:sz="4" w:space="0" w:color="auto"/>
              <w:right w:val="nil"/>
            </w:tcBorders>
            <w:shd w:val="clear" w:color="auto" w:fill="auto"/>
            <w:vAlign w:val="center"/>
            <w:hideMark/>
          </w:tcPr>
          <w:p w14:paraId="4E85B225" w14:textId="77777777" w:rsidR="00D4244E" w:rsidRPr="002C3C8F" w:rsidRDefault="00D4244E" w:rsidP="00537669">
            <w:pPr>
              <w:spacing w:after="0" w:line="240" w:lineRule="auto"/>
              <w:jc w:val="center"/>
              <w:rPr>
                <w:rFonts w:ascii="Calibri" w:eastAsia="Times New Roman" w:hAnsi="Calibri" w:cs="Calibri"/>
                <w:b/>
                <w:bCs/>
                <w:color w:val="000000"/>
                <w:sz w:val="20"/>
                <w:szCs w:val="20"/>
              </w:rPr>
            </w:pPr>
            <w:r w:rsidRPr="002C3C8F">
              <w:rPr>
                <w:rFonts w:ascii="Calibri" w:eastAsia="Times New Roman" w:hAnsi="Calibri" w:cs="Calibri"/>
                <w:b/>
                <w:bCs/>
                <w:color w:val="000000"/>
                <w:sz w:val="20"/>
                <w:szCs w:val="20"/>
              </w:rPr>
              <w:t xml:space="preserve">Ellen and </w:t>
            </w:r>
            <w:proofErr w:type="spellStart"/>
            <w:r w:rsidRPr="002C3C8F">
              <w:rPr>
                <w:rFonts w:ascii="Calibri" w:eastAsia="Times New Roman" w:hAnsi="Calibri" w:cs="Calibri"/>
                <w:b/>
                <w:bCs/>
                <w:color w:val="000000"/>
                <w:sz w:val="20"/>
                <w:szCs w:val="20"/>
              </w:rPr>
              <w:t>O'Regan</w:t>
            </w:r>
            <w:proofErr w:type="spellEnd"/>
          </w:p>
        </w:tc>
        <w:tc>
          <w:tcPr>
            <w:tcW w:w="2824" w:type="dxa"/>
            <w:tcBorders>
              <w:top w:val="single" w:sz="4" w:space="0" w:color="auto"/>
              <w:left w:val="nil"/>
              <w:bottom w:val="single" w:sz="4" w:space="0" w:color="auto"/>
              <w:right w:val="nil"/>
            </w:tcBorders>
            <w:shd w:val="clear" w:color="auto" w:fill="auto"/>
            <w:vAlign w:val="center"/>
            <w:hideMark/>
          </w:tcPr>
          <w:p w14:paraId="7A100F0D" w14:textId="77777777" w:rsidR="00D4244E" w:rsidRPr="002C3C8F" w:rsidRDefault="00D4244E" w:rsidP="00537669">
            <w:pPr>
              <w:spacing w:after="0" w:line="240" w:lineRule="auto"/>
              <w:jc w:val="center"/>
              <w:rPr>
                <w:rFonts w:ascii="Calibri" w:eastAsia="Times New Roman" w:hAnsi="Calibri" w:cs="Calibri"/>
                <w:b/>
                <w:bCs/>
                <w:color w:val="000000"/>
                <w:sz w:val="20"/>
                <w:szCs w:val="20"/>
              </w:rPr>
            </w:pPr>
            <w:proofErr w:type="spellStart"/>
            <w:r w:rsidRPr="002C3C8F">
              <w:rPr>
                <w:rFonts w:ascii="Calibri" w:eastAsia="Times New Roman" w:hAnsi="Calibri" w:cs="Calibri"/>
                <w:b/>
                <w:bCs/>
                <w:color w:val="000000"/>
                <w:sz w:val="20"/>
                <w:szCs w:val="20"/>
              </w:rPr>
              <w:t>McKinnish</w:t>
            </w:r>
            <w:proofErr w:type="spellEnd"/>
            <w:r w:rsidRPr="002C3C8F">
              <w:rPr>
                <w:rFonts w:ascii="Calibri" w:eastAsia="Times New Roman" w:hAnsi="Calibri" w:cs="Calibri"/>
                <w:b/>
                <w:bCs/>
                <w:color w:val="000000"/>
                <w:sz w:val="20"/>
                <w:szCs w:val="20"/>
              </w:rPr>
              <w:t xml:space="preserve"> et al.</w:t>
            </w:r>
          </w:p>
        </w:tc>
      </w:tr>
      <w:tr w:rsidR="00D4244E" w:rsidRPr="002C3C8F" w14:paraId="09999D30" w14:textId="77777777" w:rsidTr="00537669">
        <w:trPr>
          <w:trHeight w:val="1316"/>
        </w:trPr>
        <w:tc>
          <w:tcPr>
            <w:tcW w:w="1166" w:type="dxa"/>
            <w:tcBorders>
              <w:top w:val="nil"/>
              <w:left w:val="nil"/>
              <w:bottom w:val="nil"/>
              <w:right w:val="nil"/>
            </w:tcBorders>
            <w:shd w:val="clear" w:color="auto" w:fill="auto"/>
            <w:vAlign w:val="center"/>
            <w:hideMark/>
          </w:tcPr>
          <w:p w14:paraId="0B9D76D0" w14:textId="77777777" w:rsidR="00D4244E" w:rsidRPr="002C3C8F" w:rsidRDefault="00D4244E" w:rsidP="00537669">
            <w:pPr>
              <w:spacing w:after="0" w:line="240" w:lineRule="auto"/>
              <w:jc w:val="center"/>
              <w:rPr>
                <w:rFonts w:ascii="Calibri" w:eastAsia="Times New Roman" w:hAnsi="Calibri" w:cs="Calibri"/>
                <w:b/>
                <w:bCs/>
                <w:color w:val="000000"/>
                <w:sz w:val="20"/>
                <w:szCs w:val="20"/>
              </w:rPr>
            </w:pPr>
            <w:r w:rsidRPr="002C3C8F">
              <w:rPr>
                <w:rFonts w:ascii="Calibri" w:eastAsia="Times New Roman" w:hAnsi="Calibri" w:cs="Calibri"/>
                <w:b/>
                <w:bCs/>
                <w:color w:val="000000"/>
                <w:sz w:val="20"/>
                <w:szCs w:val="20"/>
              </w:rPr>
              <w:t>Eligible</w:t>
            </w:r>
          </w:p>
        </w:tc>
        <w:tc>
          <w:tcPr>
            <w:tcW w:w="2533" w:type="dxa"/>
            <w:tcBorders>
              <w:top w:val="nil"/>
              <w:left w:val="nil"/>
              <w:bottom w:val="nil"/>
              <w:right w:val="nil"/>
            </w:tcBorders>
            <w:shd w:val="clear" w:color="auto" w:fill="auto"/>
            <w:vAlign w:val="center"/>
            <w:hideMark/>
          </w:tcPr>
          <w:p w14:paraId="32E3B745" w14:textId="77777777" w:rsidR="00D4244E" w:rsidRPr="002C3C8F" w:rsidRDefault="00D4244E" w:rsidP="00537669">
            <w:pPr>
              <w:spacing w:after="0" w:line="240" w:lineRule="auto"/>
              <w:rPr>
                <w:rFonts w:ascii="Calibri" w:eastAsia="Times New Roman" w:hAnsi="Calibri" w:cs="Calibri"/>
                <w:color w:val="000000"/>
                <w:sz w:val="20"/>
                <w:szCs w:val="20"/>
              </w:rPr>
            </w:pPr>
            <w:r w:rsidRPr="002C3C8F">
              <w:rPr>
                <w:rFonts w:ascii="Calibri" w:eastAsia="Times New Roman" w:hAnsi="Calibri" w:cs="Calibri"/>
                <w:color w:val="000000"/>
                <w:sz w:val="20"/>
                <w:szCs w:val="20"/>
              </w:rPr>
              <w:t xml:space="preserve">Median household income </w:t>
            </w:r>
            <w:r w:rsidRPr="002C3C8F">
              <w:rPr>
                <w:rFonts w:ascii="Calibri" w:eastAsia="Times New Roman" w:hAnsi="Calibri" w:cs="Calibri"/>
                <w:b/>
                <w:bCs/>
                <w:color w:val="000000"/>
                <w:sz w:val="20"/>
                <w:szCs w:val="20"/>
              </w:rPr>
              <w:t>and</w:t>
            </w:r>
            <w:r w:rsidRPr="002C3C8F">
              <w:rPr>
                <w:rFonts w:ascii="Calibri" w:eastAsia="Times New Roman" w:hAnsi="Calibri" w:cs="Calibri"/>
                <w:color w:val="000000"/>
                <w:sz w:val="20"/>
                <w:szCs w:val="20"/>
              </w:rPr>
              <w:t xml:space="preserve"> percentage of housing built in prior 20 years both less than metro-wide values in 2000</w:t>
            </w:r>
          </w:p>
        </w:tc>
        <w:tc>
          <w:tcPr>
            <w:tcW w:w="2569" w:type="dxa"/>
            <w:tcBorders>
              <w:top w:val="nil"/>
              <w:left w:val="nil"/>
              <w:bottom w:val="nil"/>
              <w:right w:val="nil"/>
            </w:tcBorders>
            <w:shd w:val="clear" w:color="auto" w:fill="auto"/>
            <w:vAlign w:val="center"/>
            <w:hideMark/>
          </w:tcPr>
          <w:p w14:paraId="64FAA443" w14:textId="77777777" w:rsidR="00D4244E" w:rsidRPr="002C3C8F" w:rsidRDefault="00D4244E" w:rsidP="00537669">
            <w:pPr>
              <w:spacing w:after="0" w:line="240" w:lineRule="auto"/>
              <w:rPr>
                <w:rFonts w:ascii="Calibri" w:eastAsia="Times New Roman" w:hAnsi="Calibri" w:cs="Calibri"/>
                <w:color w:val="000000"/>
                <w:sz w:val="20"/>
                <w:szCs w:val="20"/>
              </w:rPr>
            </w:pPr>
            <w:r w:rsidRPr="002C3C8F">
              <w:rPr>
                <w:rFonts w:ascii="Calibri" w:eastAsia="Times New Roman" w:hAnsi="Calibri" w:cs="Calibri"/>
                <w:color w:val="000000"/>
                <w:sz w:val="20"/>
                <w:szCs w:val="20"/>
              </w:rPr>
              <w:t>Less than 70% of metropolitan average household income in 2000</w:t>
            </w:r>
          </w:p>
        </w:tc>
        <w:tc>
          <w:tcPr>
            <w:tcW w:w="2824" w:type="dxa"/>
            <w:tcBorders>
              <w:top w:val="nil"/>
              <w:left w:val="nil"/>
              <w:bottom w:val="nil"/>
              <w:right w:val="nil"/>
            </w:tcBorders>
            <w:shd w:val="clear" w:color="auto" w:fill="auto"/>
            <w:vAlign w:val="center"/>
            <w:hideMark/>
          </w:tcPr>
          <w:p w14:paraId="7E7C8224" w14:textId="77777777" w:rsidR="00D4244E" w:rsidRPr="002C3C8F" w:rsidRDefault="00D4244E" w:rsidP="00537669">
            <w:pPr>
              <w:spacing w:after="0" w:line="240" w:lineRule="auto"/>
              <w:rPr>
                <w:rFonts w:ascii="Calibri" w:eastAsia="Times New Roman" w:hAnsi="Calibri" w:cs="Calibri"/>
                <w:color w:val="000000"/>
                <w:sz w:val="20"/>
                <w:szCs w:val="20"/>
              </w:rPr>
            </w:pPr>
            <w:r w:rsidRPr="002C3C8F">
              <w:rPr>
                <w:rFonts w:ascii="Calibri" w:eastAsia="Times New Roman" w:hAnsi="Calibri" w:cs="Calibri"/>
                <w:color w:val="000000"/>
                <w:sz w:val="20"/>
                <w:szCs w:val="20"/>
              </w:rPr>
              <w:t>Average family income in bottom 20% of nationwide urban tracts in 2000</w:t>
            </w:r>
          </w:p>
        </w:tc>
      </w:tr>
      <w:tr w:rsidR="00D4244E" w:rsidRPr="002C3C8F" w14:paraId="37F1B085" w14:textId="77777777" w:rsidTr="00537669">
        <w:trPr>
          <w:trHeight w:val="1579"/>
        </w:trPr>
        <w:tc>
          <w:tcPr>
            <w:tcW w:w="1166" w:type="dxa"/>
            <w:tcBorders>
              <w:top w:val="nil"/>
              <w:left w:val="nil"/>
              <w:bottom w:val="single" w:sz="4" w:space="0" w:color="auto"/>
              <w:right w:val="nil"/>
            </w:tcBorders>
            <w:shd w:val="clear" w:color="auto" w:fill="auto"/>
            <w:vAlign w:val="center"/>
            <w:hideMark/>
          </w:tcPr>
          <w:p w14:paraId="652FE286" w14:textId="77777777" w:rsidR="00D4244E" w:rsidRPr="002C3C8F" w:rsidRDefault="00D4244E" w:rsidP="00537669">
            <w:pPr>
              <w:spacing w:after="0" w:line="240" w:lineRule="auto"/>
              <w:jc w:val="center"/>
              <w:rPr>
                <w:rFonts w:ascii="Calibri" w:eastAsia="Times New Roman" w:hAnsi="Calibri" w:cs="Calibri"/>
                <w:b/>
                <w:bCs/>
                <w:color w:val="000000"/>
                <w:sz w:val="20"/>
                <w:szCs w:val="20"/>
              </w:rPr>
            </w:pPr>
            <w:r w:rsidRPr="002C3C8F">
              <w:rPr>
                <w:rFonts w:ascii="Calibri" w:eastAsia="Times New Roman" w:hAnsi="Calibri" w:cs="Calibri"/>
                <w:b/>
                <w:bCs/>
                <w:color w:val="000000"/>
                <w:sz w:val="20"/>
                <w:szCs w:val="20"/>
              </w:rPr>
              <w:t>Gentrified</w:t>
            </w:r>
          </w:p>
        </w:tc>
        <w:tc>
          <w:tcPr>
            <w:tcW w:w="2533" w:type="dxa"/>
            <w:tcBorders>
              <w:top w:val="nil"/>
              <w:left w:val="nil"/>
              <w:bottom w:val="single" w:sz="4" w:space="0" w:color="auto"/>
              <w:right w:val="nil"/>
            </w:tcBorders>
            <w:shd w:val="clear" w:color="auto" w:fill="auto"/>
            <w:vAlign w:val="center"/>
            <w:hideMark/>
          </w:tcPr>
          <w:p w14:paraId="79120F56" w14:textId="77777777" w:rsidR="00D4244E" w:rsidRPr="002C3C8F" w:rsidRDefault="00D4244E" w:rsidP="00537669">
            <w:pPr>
              <w:spacing w:after="0" w:line="240" w:lineRule="auto"/>
              <w:rPr>
                <w:rFonts w:ascii="Calibri" w:eastAsia="Times New Roman" w:hAnsi="Calibri" w:cs="Calibri"/>
                <w:color w:val="000000"/>
                <w:sz w:val="20"/>
                <w:szCs w:val="20"/>
              </w:rPr>
            </w:pPr>
            <w:r w:rsidRPr="002C3C8F">
              <w:rPr>
                <w:rFonts w:ascii="Calibri" w:eastAsia="Times New Roman" w:hAnsi="Calibri" w:cs="Calibri"/>
                <w:color w:val="000000"/>
                <w:sz w:val="20"/>
                <w:szCs w:val="20"/>
              </w:rPr>
              <w:t xml:space="preserve">Eligible </w:t>
            </w:r>
            <w:r w:rsidRPr="002C3C8F">
              <w:rPr>
                <w:rFonts w:ascii="Calibri" w:eastAsia="Times New Roman" w:hAnsi="Calibri" w:cs="Calibri"/>
                <w:b/>
                <w:bCs/>
                <w:color w:val="000000"/>
                <w:sz w:val="20"/>
                <w:szCs w:val="20"/>
              </w:rPr>
              <w:t>and</w:t>
            </w:r>
            <w:r w:rsidRPr="002C3C8F">
              <w:rPr>
                <w:rFonts w:ascii="Calibri" w:eastAsia="Times New Roman" w:hAnsi="Calibri" w:cs="Calibri"/>
                <w:color w:val="000000"/>
                <w:sz w:val="20"/>
                <w:szCs w:val="20"/>
              </w:rPr>
              <w:t xml:space="preserve"> change in residents with college degree greater than metro-wide average </w:t>
            </w:r>
            <w:r w:rsidRPr="002C3C8F">
              <w:rPr>
                <w:rFonts w:ascii="Calibri" w:eastAsia="Times New Roman" w:hAnsi="Calibri" w:cs="Calibri"/>
                <w:b/>
                <w:bCs/>
                <w:color w:val="000000"/>
                <w:sz w:val="20"/>
                <w:szCs w:val="20"/>
              </w:rPr>
              <w:t>and</w:t>
            </w:r>
            <w:r w:rsidRPr="002C3C8F">
              <w:rPr>
                <w:rFonts w:ascii="Calibri" w:eastAsia="Times New Roman" w:hAnsi="Calibri" w:cs="Calibri"/>
                <w:color w:val="000000"/>
                <w:sz w:val="20"/>
                <w:szCs w:val="20"/>
              </w:rPr>
              <w:t xml:space="preserve"> increase in real housing prices between 2000 and 2010</w:t>
            </w:r>
          </w:p>
        </w:tc>
        <w:tc>
          <w:tcPr>
            <w:tcW w:w="2569" w:type="dxa"/>
            <w:tcBorders>
              <w:top w:val="nil"/>
              <w:left w:val="nil"/>
              <w:bottom w:val="single" w:sz="4" w:space="0" w:color="auto"/>
              <w:right w:val="nil"/>
            </w:tcBorders>
            <w:shd w:val="clear" w:color="auto" w:fill="auto"/>
            <w:vAlign w:val="center"/>
            <w:hideMark/>
          </w:tcPr>
          <w:p w14:paraId="44E33C38" w14:textId="77777777" w:rsidR="00D4244E" w:rsidRPr="002C3C8F" w:rsidRDefault="00D4244E" w:rsidP="00537669">
            <w:pPr>
              <w:spacing w:after="0" w:line="240" w:lineRule="auto"/>
              <w:rPr>
                <w:rFonts w:ascii="Calibri" w:eastAsia="Times New Roman" w:hAnsi="Calibri" w:cs="Calibri"/>
                <w:color w:val="000000"/>
                <w:sz w:val="20"/>
                <w:szCs w:val="20"/>
              </w:rPr>
            </w:pPr>
            <w:r w:rsidRPr="002C3C8F">
              <w:rPr>
                <w:rFonts w:ascii="Calibri" w:eastAsia="Times New Roman" w:hAnsi="Calibri" w:cs="Calibri"/>
                <w:color w:val="000000"/>
                <w:sz w:val="20"/>
                <w:szCs w:val="20"/>
              </w:rPr>
              <w:t xml:space="preserve">Eligible </w:t>
            </w:r>
            <w:r w:rsidRPr="002C3C8F">
              <w:rPr>
                <w:rFonts w:ascii="Calibri" w:eastAsia="Times New Roman" w:hAnsi="Calibri" w:cs="Calibri"/>
                <w:b/>
                <w:bCs/>
                <w:color w:val="000000"/>
                <w:sz w:val="20"/>
                <w:szCs w:val="20"/>
              </w:rPr>
              <w:t>and</w:t>
            </w:r>
            <w:r w:rsidRPr="002C3C8F">
              <w:rPr>
                <w:rFonts w:ascii="Calibri" w:eastAsia="Times New Roman" w:hAnsi="Calibri" w:cs="Calibri"/>
                <w:color w:val="000000"/>
                <w:sz w:val="20"/>
                <w:szCs w:val="20"/>
              </w:rPr>
              <w:t xml:space="preserve"> minimum of 10 percentage point increase in the ratio of tract-to-metro average </w:t>
            </w:r>
            <w:proofErr w:type="spellStart"/>
            <w:r w:rsidRPr="002C3C8F">
              <w:rPr>
                <w:rFonts w:ascii="Calibri" w:eastAsia="Times New Roman" w:hAnsi="Calibri" w:cs="Calibri"/>
                <w:color w:val="000000"/>
                <w:sz w:val="20"/>
                <w:szCs w:val="20"/>
              </w:rPr>
              <w:t>houshold</w:t>
            </w:r>
            <w:proofErr w:type="spellEnd"/>
            <w:r w:rsidRPr="002C3C8F">
              <w:rPr>
                <w:rFonts w:ascii="Calibri" w:eastAsia="Times New Roman" w:hAnsi="Calibri" w:cs="Calibri"/>
                <w:color w:val="000000"/>
                <w:sz w:val="20"/>
                <w:szCs w:val="20"/>
              </w:rPr>
              <w:t xml:space="preserve"> income between 2000 and 2010</w:t>
            </w:r>
          </w:p>
        </w:tc>
        <w:tc>
          <w:tcPr>
            <w:tcW w:w="2824" w:type="dxa"/>
            <w:tcBorders>
              <w:top w:val="nil"/>
              <w:left w:val="nil"/>
              <w:bottom w:val="single" w:sz="4" w:space="0" w:color="auto"/>
              <w:right w:val="nil"/>
            </w:tcBorders>
            <w:shd w:val="clear" w:color="auto" w:fill="auto"/>
            <w:vAlign w:val="center"/>
            <w:hideMark/>
          </w:tcPr>
          <w:p w14:paraId="5C8A126C" w14:textId="77777777" w:rsidR="00D4244E" w:rsidRPr="002C3C8F" w:rsidRDefault="00D4244E" w:rsidP="00537669">
            <w:pPr>
              <w:spacing w:after="0" w:line="240" w:lineRule="auto"/>
              <w:rPr>
                <w:rFonts w:ascii="Calibri" w:eastAsia="Times New Roman" w:hAnsi="Calibri" w:cs="Calibri"/>
                <w:color w:val="000000"/>
                <w:sz w:val="20"/>
                <w:szCs w:val="20"/>
              </w:rPr>
            </w:pPr>
            <w:r w:rsidRPr="002C3C8F">
              <w:rPr>
                <w:rFonts w:ascii="Calibri" w:eastAsia="Times New Roman" w:hAnsi="Calibri" w:cs="Calibri"/>
                <w:color w:val="000000"/>
                <w:sz w:val="20"/>
                <w:szCs w:val="20"/>
              </w:rPr>
              <w:t xml:space="preserve">Eligible </w:t>
            </w:r>
            <w:r w:rsidRPr="002C3C8F">
              <w:rPr>
                <w:rFonts w:ascii="Calibri" w:eastAsia="Times New Roman" w:hAnsi="Calibri" w:cs="Calibri"/>
                <w:b/>
                <w:bCs/>
                <w:color w:val="000000"/>
                <w:sz w:val="20"/>
                <w:szCs w:val="20"/>
              </w:rPr>
              <w:t>and</w:t>
            </w:r>
            <w:r w:rsidRPr="002C3C8F">
              <w:rPr>
                <w:rFonts w:ascii="Calibri" w:eastAsia="Times New Roman" w:hAnsi="Calibri" w:cs="Calibri"/>
                <w:color w:val="000000"/>
                <w:sz w:val="20"/>
                <w:szCs w:val="20"/>
              </w:rPr>
              <w:t xml:space="preserve"> real increase in average family income of at least $10,000 between 2000 and 2010</w:t>
            </w:r>
          </w:p>
        </w:tc>
      </w:tr>
    </w:tbl>
    <w:p w14:paraId="4E0DBEC0" w14:textId="77777777" w:rsidR="00D4244E" w:rsidRPr="0050169B" w:rsidRDefault="00D4244E" w:rsidP="00D4244E">
      <w:pPr>
        <w:rPr>
          <w:rFonts w:cstheme="minorHAnsi"/>
          <w:sz w:val="20"/>
          <w:szCs w:val="20"/>
        </w:rPr>
      </w:pPr>
    </w:p>
    <w:p w14:paraId="005B9CD4" w14:textId="77777777" w:rsidR="00D4244E" w:rsidRPr="0035295E" w:rsidRDefault="00D4244E" w:rsidP="00D4244E">
      <w:pPr>
        <w:ind w:firstLine="720"/>
        <w:rPr>
          <w:rFonts w:ascii="Calibri" w:hAnsi="Calibri" w:cs="Calibri"/>
          <w:color w:val="000000"/>
        </w:rPr>
      </w:pPr>
      <w:r w:rsidRPr="0050169B">
        <w:rPr>
          <w:rFonts w:cstheme="minorHAnsi"/>
        </w:rPr>
        <w:t xml:space="preserve">The </w:t>
      </w:r>
      <w:r>
        <w:rPr>
          <w:rFonts w:cstheme="minorHAnsi"/>
        </w:rPr>
        <w:t xml:space="preserve">methodological </w:t>
      </w:r>
      <w:r w:rsidRPr="0050169B">
        <w:rPr>
          <w:rFonts w:cstheme="minorHAnsi"/>
        </w:rPr>
        <w:t xml:space="preserve">differences </w:t>
      </w:r>
      <w:r>
        <w:rPr>
          <w:rFonts w:cstheme="minorHAnsi"/>
        </w:rPr>
        <w:t>are compounded by</w:t>
      </w:r>
      <w:r w:rsidRPr="0050169B">
        <w:rPr>
          <w:rFonts w:cstheme="minorHAnsi"/>
        </w:rPr>
        <w:t xml:space="preserve"> each definition’s </w:t>
      </w:r>
      <w:r>
        <w:rPr>
          <w:rFonts w:cstheme="minorHAnsi"/>
        </w:rPr>
        <w:t>gentrification change condition</w:t>
      </w:r>
      <w:r w:rsidRPr="0050169B">
        <w:rPr>
          <w:rFonts w:cstheme="minorHAnsi"/>
        </w:rPr>
        <w:t xml:space="preserve">.  The Ellen and </w:t>
      </w:r>
      <w:proofErr w:type="spellStart"/>
      <w:r w:rsidRPr="0050169B">
        <w:rPr>
          <w:rFonts w:cstheme="minorHAnsi"/>
        </w:rPr>
        <w:t>O’Regan</w:t>
      </w:r>
      <w:proofErr w:type="spellEnd"/>
      <w:r w:rsidRPr="0050169B">
        <w:rPr>
          <w:rFonts w:cstheme="minorHAnsi"/>
        </w:rPr>
        <w:t xml:space="preserve"> and </w:t>
      </w:r>
      <w:proofErr w:type="spellStart"/>
      <w:r w:rsidRPr="0050169B">
        <w:rPr>
          <w:rFonts w:cstheme="minorHAnsi"/>
        </w:rPr>
        <w:t>McKinnish</w:t>
      </w:r>
      <w:proofErr w:type="spellEnd"/>
      <w:r w:rsidRPr="0050169B">
        <w:rPr>
          <w:rFonts w:cstheme="minorHAnsi"/>
        </w:rPr>
        <w:t xml:space="preserve"> et al</w:t>
      </w:r>
      <w:r>
        <w:rPr>
          <w:rFonts w:cstheme="minorHAnsi"/>
        </w:rPr>
        <w:t>.</w:t>
      </w:r>
      <w:r w:rsidRPr="0050169B">
        <w:rPr>
          <w:rFonts w:cstheme="minorHAnsi"/>
        </w:rPr>
        <w:t xml:space="preserve"> definitions both use </w:t>
      </w:r>
      <w:r>
        <w:rPr>
          <w:rFonts w:cstheme="minorHAnsi"/>
        </w:rPr>
        <w:t>(</w:t>
      </w:r>
      <w:r w:rsidRPr="0050169B">
        <w:rPr>
          <w:rFonts w:cstheme="minorHAnsi"/>
        </w:rPr>
        <w:t>different</w:t>
      </w:r>
      <w:r>
        <w:rPr>
          <w:rFonts w:cstheme="minorHAnsi"/>
        </w:rPr>
        <w:t>)</w:t>
      </w:r>
      <w:r w:rsidRPr="0050169B">
        <w:rPr>
          <w:rFonts w:cstheme="minorHAnsi"/>
        </w:rPr>
        <w:t xml:space="preserve"> income measurements (household vs. family) to signal gentrification, as well as differing threshold types</w:t>
      </w:r>
      <w:r>
        <w:rPr>
          <w:rFonts w:cstheme="minorHAnsi"/>
        </w:rPr>
        <w:t xml:space="preserve"> (</w:t>
      </w:r>
      <w:r w:rsidRPr="0050169B">
        <w:rPr>
          <w:rFonts w:cstheme="minorHAnsi"/>
        </w:rPr>
        <w:t xml:space="preserve">relative for Ellen and </w:t>
      </w:r>
      <w:proofErr w:type="spellStart"/>
      <w:r w:rsidRPr="0050169B">
        <w:rPr>
          <w:rFonts w:cstheme="minorHAnsi"/>
        </w:rPr>
        <w:t>O’Regan</w:t>
      </w:r>
      <w:proofErr w:type="spellEnd"/>
      <w:r w:rsidRPr="0050169B">
        <w:rPr>
          <w:rFonts w:cstheme="minorHAnsi"/>
        </w:rPr>
        <w:t xml:space="preserve"> and absolute for </w:t>
      </w:r>
      <w:proofErr w:type="spellStart"/>
      <w:r w:rsidRPr="0050169B">
        <w:rPr>
          <w:rFonts w:cstheme="minorHAnsi"/>
        </w:rPr>
        <w:t>McKinnish</w:t>
      </w:r>
      <w:proofErr w:type="spellEnd"/>
      <w:r w:rsidRPr="0050169B">
        <w:rPr>
          <w:rFonts w:cstheme="minorHAnsi"/>
        </w:rPr>
        <w:t xml:space="preserve"> et al.</w:t>
      </w:r>
      <w:r>
        <w:rPr>
          <w:rFonts w:cstheme="minorHAnsi"/>
        </w:rPr>
        <w:t>).</w:t>
      </w:r>
      <w:r w:rsidRPr="0050169B">
        <w:rPr>
          <w:rFonts w:cstheme="minorHAnsi"/>
        </w:rPr>
        <w:t xml:space="preserve"> Freema</w:t>
      </w:r>
      <w:r>
        <w:rPr>
          <w:rFonts w:cstheme="minorHAnsi"/>
        </w:rPr>
        <w:t>n, however,</w:t>
      </w:r>
      <w:r w:rsidRPr="0050169B">
        <w:rPr>
          <w:rFonts w:cstheme="minorHAnsi"/>
        </w:rPr>
        <w:t xml:space="preserve"> only considers the cardinality of housing prices in addition to the relative gain in college</w:t>
      </w:r>
      <w:r>
        <w:rPr>
          <w:rFonts w:cstheme="minorHAnsi"/>
        </w:rPr>
        <w:t>-</w:t>
      </w:r>
      <w:r w:rsidRPr="0050169B">
        <w:rPr>
          <w:rFonts w:cstheme="minorHAnsi"/>
        </w:rPr>
        <w:t xml:space="preserve">educated residents as a proxy for socio-economic upgrading.  </w:t>
      </w:r>
    </w:p>
    <w:p w14:paraId="559C12A8" w14:textId="77777777" w:rsidR="00D4244E" w:rsidRPr="0050169B" w:rsidRDefault="00D4244E" w:rsidP="00D4244E">
      <w:pPr>
        <w:ind w:firstLine="720"/>
        <w:rPr>
          <w:rFonts w:cstheme="minorHAnsi"/>
        </w:rPr>
      </w:pPr>
      <w:r w:rsidRPr="0050169B">
        <w:rPr>
          <w:rFonts w:cstheme="minorHAnsi"/>
        </w:rPr>
        <w:t xml:space="preserve">Figure </w:t>
      </w:r>
      <w:r>
        <w:rPr>
          <w:rFonts w:cstheme="minorHAnsi"/>
        </w:rPr>
        <w:t>2</w:t>
      </w:r>
      <w:r w:rsidRPr="0050169B">
        <w:rPr>
          <w:rFonts w:cstheme="minorHAnsi"/>
        </w:rPr>
        <w:t xml:space="preserve"> display</w:t>
      </w:r>
      <w:r>
        <w:rPr>
          <w:rFonts w:cstheme="minorHAnsi"/>
        </w:rPr>
        <w:t xml:space="preserve">s the mapped results of </w:t>
      </w:r>
      <w:r w:rsidRPr="0050169B">
        <w:rPr>
          <w:rFonts w:cstheme="minorHAnsi"/>
        </w:rPr>
        <w:t xml:space="preserve">eligible </w:t>
      </w:r>
      <w:r>
        <w:rPr>
          <w:rFonts w:cstheme="minorHAnsi"/>
        </w:rPr>
        <w:t>and</w:t>
      </w:r>
      <w:r w:rsidRPr="0050169B">
        <w:rPr>
          <w:rFonts w:cstheme="minorHAnsi"/>
        </w:rPr>
        <w:t xml:space="preserve"> </w:t>
      </w:r>
      <w:r>
        <w:rPr>
          <w:rFonts w:cstheme="minorHAnsi"/>
        </w:rPr>
        <w:t xml:space="preserve">final </w:t>
      </w:r>
      <w:r w:rsidRPr="0050169B">
        <w:rPr>
          <w:rFonts w:cstheme="minorHAnsi"/>
        </w:rPr>
        <w:t>gentrification classif</w:t>
      </w:r>
      <w:r>
        <w:rPr>
          <w:rFonts w:cstheme="minorHAnsi"/>
        </w:rPr>
        <w:t>ications</w:t>
      </w:r>
      <w:r w:rsidRPr="0035295E">
        <w:rPr>
          <w:rFonts w:cstheme="minorHAnsi"/>
        </w:rPr>
        <w:t xml:space="preserve"> </w:t>
      </w:r>
      <w:r>
        <w:rPr>
          <w:rFonts w:cstheme="minorHAnsi"/>
        </w:rPr>
        <w:t xml:space="preserve">in </w:t>
      </w:r>
      <w:r w:rsidRPr="0050169B">
        <w:rPr>
          <w:rFonts w:cstheme="minorHAnsi"/>
        </w:rPr>
        <w:t>Davidson County</w:t>
      </w:r>
      <w:r>
        <w:rPr>
          <w:rFonts w:cstheme="minorHAnsi"/>
        </w:rPr>
        <w:t>, (</w:t>
      </w:r>
      <w:r w:rsidRPr="0050169B">
        <w:rPr>
          <w:rFonts w:cstheme="minorHAnsi"/>
        </w:rPr>
        <w:t>Nashville, TN</w:t>
      </w:r>
      <w:r>
        <w:rPr>
          <w:rFonts w:cstheme="minorHAnsi"/>
        </w:rPr>
        <w:t>)</w:t>
      </w:r>
      <w:r w:rsidRPr="0050169B">
        <w:rPr>
          <w:rFonts w:cstheme="minorHAnsi"/>
        </w:rPr>
        <w:t xml:space="preserve"> between 2000 and 2010.  Freeman’s definition </w:t>
      </w:r>
      <w:r>
        <w:rPr>
          <w:rFonts w:cstheme="minorHAnsi"/>
        </w:rPr>
        <w:t>yields</w:t>
      </w:r>
      <w:r w:rsidRPr="0050169B">
        <w:rPr>
          <w:rFonts w:cstheme="minorHAnsi"/>
        </w:rPr>
        <w:t xml:space="preserve"> the most inclusive classification of the three approaches, labeling 37 </w:t>
      </w:r>
      <w:r>
        <w:rPr>
          <w:rFonts w:cstheme="minorHAnsi"/>
        </w:rPr>
        <w:t>C</w:t>
      </w:r>
      <w:r w:rsidRPr="0050169B">
        <w:rPr>
          <w:rFonts w:cstheme="minorHAnsi"/>
        </w:rPr>
        <w:t>ensus tracts as gentrified</w:t>
      </w:r>
      <w:r>
        <w:rPr>
          <w:rFonts w:cstheme="minorHAnsi"/>
        </w:rPr>
        <w:t xml:space="preserve">, followed by Ellen and </w:t>
      </w:r>
      <w:proofErr w:type="spellStart"/>
      <w:r>
        <w:rPr>
          <w:rFonts w:cstheme="minorHAnsi"/>
        </w:rPr>
        <w:t>O’Regan</w:t>
      </w:r>
      <w:proofErr w:type="spellEnd"/>
      <w:r>
        <w:rPr>
          <w:rFonts w:cstheme="minorHAnsi"/>
        </w:rPr>
        <w:t xml:space="preserve"> and </w:t>
      </w:r>
      <w:proofErr w:type="spellStart"/>
      <w:r>
        <w:rPr>
          <w:rFonts w:cstheme="minorHAnsi"/>
        </w:rPr>
        <w:t>McKinnish</w:t>
      </w:r>
      <w:proofErr w:type="spellEnd"/>
      <w:r>
        <w:rPr>
          <w:rFonts w:cstheme="minorHAnsi"/>
        </w:rPr>
        <w:t xml:space="preserve"> et al. which </w:t>
      </w:r>
      <w:r w:rsidRPr="0050169B">
        <w:rPr>
          <w:rFonts w:cstheme="minorHAnsi"/>
        </w:rPr>
        <w:t xml:space="preserve">identified 8 </w:t>
      </w:r>
      <w:r>
        <w:rPr>
          <w:rFonts w:cstheme="minorHAnsi"/>
        </w:rPr>
        <w:t xml:space="preserve">and 5 </w:t>
      </w:r>
      <w:r w:rsidRPr="0050169B">
        <w:rPr>
          <w:rFonts w:cstheme="minorHAnsi"/>
        </w:rPr>
        <w:t>gentrified tracts</w:t>
      </w:r>
      <w:r>
        <w:rPr>
          <w:rFonts w:cstheme="minorHAnsi"/>
        </w:rPr>
        <w:t>, respectively.</w:t>
      </w:r>
      <w:r w:rsidRPr="0050169B">
        <w:rPr>
          <w:rFonts w:cstheme="minorHAnsi"/>
        </w:rPr>
        <w:t xml:space="preserve"> Only three </w:t>
      </w:r>
      <w:r>
        <w:rPr>
          <w:rFonts w:cstheme="minorHAnsi"/>
        </w:rPr>
        <w:t>c</w:t>
      </w:r>
      <w:r w:rsidRPr="0050169B">
        <w:rPr>
          <w:rFonts w:cstheme="minorHAnsi"/>
        </w:rPr>
        <w:t xml:space="preserve">ensus tracts in Davidson County were consistently identified as gentrified across all three definitions. </w:t>
      </w:r>
    </w:p>
    <w:p w14:paraId="5F84A63A" w14:textId="77777777" w:rsidR="00D4244E" w:rsidRDefault="00D4244E" w:rsidP="00D4244E">
      <w:pPr>
        <w:keepNext/>
        <w:spacing w:after="240"/>
      </w:pPr>
      <w:r w:rsidRPr="0050169B">
        <w:rPr>
          <w:rFonts w:cstheme="minorHAnsi"/>
          <w:noProof/>
          <w:sz w:val="20"/>
          <w:szCs w:val="20"/>
        </w:rPr>
        <w:lastRenderedPageBreak/>
        <w:drawing>
          <wp:inline distT="0" distB="0" distL="0" distR="0" wp14:anchorId="75008DD6" wp14:editId="314E4C98">
            <wp:extent cx="6780527" cy="2278380"/>
            <wp:effectExtent l="0" t="0" r="190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46991" cy="2334315"/>
                    </a:xfrm>
                    <a:prstGeom prst="rect">
                      <a:avLst/>
                    </a:prstGeom>
                    <a:noFill/>
                  </pic:spPr>
                </pic:pic>
              </a:graphicData>
            </a:graphic>
          </wp:inline>
        </w:drawing>
      </w:r>
    </w:p>
    <w:p w14:paraId="7EE9D635" w14:textId="77777777" w:rsidR="00D4244E" w:rsidRPr="00525903" w:rsidRDefault="00D4244E" w:rsidP="00D4244E">
      <w:pPr>
        <w:pStyle w:val="Caption"/>
        <w:jc w:val="center"/>
        <w:rPr>
          <w:rFonts w:cstheme="minorHAnsi"/>
          <w:sz w:val="20"/>
          <w:szCs w:val="20"/>
        </w:rPr>
      </w:pPr>
      <w:r w:rsidRPr="00525903">
        <w:rPr>
          <w:sz w:val="20"/>
          <w:szCs w:val="20"/>
        </w:rPr>
        <w:t xml:space="preserve">Figure </w:t>
      </w:r>
      <w:r w:rsidRPr="00525903">
        <w:rPr>
          <w:sz w:val="20"/>
          <w:szCs w:val="20"/>
        </w:rPr>
        <w:fldChar w:fldCharType="begin"/>
      </w:r>
      <w:r w:rsidRPr="00525903">
        <w:rPr>
          <w:sz w:val="20"/>
          <w:szCs w:val="20"/>
        </w:rPr>
        <w:instrText xml:space="preserve"> SEQ Figure \* ARABIC </w:instrText>
      </w:r>
      <w:r w:rsidRPr="00525903">
        <w:rPr>
          <w:sz w:val="20"/>
          <w:szCs w:val="20"/>
        </w:rPr>
        <w:fldChar w:fldCharType="separate"/>
      </w:r>
      <w:r w:rsidRPr="00525903">
        <w:rPr>
          <w:noProof/>
          <w:sz w:val="20"/>
          <w:szCs w:val="20"/>
        </w:rPr>
        <w:t>2</w:t>
      </w:r>
      <w:r w:rsidRPr="00525903">
        <w:rPr>
          <w:sz w:val="20"/>
          <w:szCs w:val="20"/>
        </w:rPr>
        <w:fldChar w:fldCharType="end"/>
      </w:r>
      <w:r w:rsidRPr="00525903">
        <w:rPr>
          <w:sz w:val="20"/>
          <w:szCs w:val="20"/>
        </w:rPr>
        <w:t>. Variability in areas identified as gentrified within Davidson County, Tennessee (2000 - 2010).</w:t>
      </w:r>
    </w:p>
    <w:p w14:paraId="6BCBB8F8" w14:textId="77777777" w:rsidR="00D4244E" w:rsidRPr="006307AA" w:rsidRDefault="00D4244E" w:rsidP="00D4244E">
      <w:pPr>
        <w:ind w:firstLine="720"/>
        <w:rPr>
          <w:rFonts w:cstheme="minorHAnsi"/>
        </w:rPr>
      </w:pPr>
      <w:r>
        <w:rPr>
          <w:rFonts w:cstheme="minorHAnsi"/>
        </w:rPr>
        <w:t xml:space="preserve">The inconsistent performance is not unique to Nashville; the </w:t>
      </w:r>
      <w:r w:rsidRPr="0050169B">
        <w:rPr>
          <w:rFonts w:cstheme="minorHAnsi"/>
        </w:rPr>
        <w:t xml:space="preserve">inter-definitional disagreement </w:t>
      </w:r>
      <w:r>
        <w:rPr>
          <w:rFonts w:cstheme="minorHAnsi"/>
        </w:rPr>
        <w:t>grows when extrapolated</w:t>
      </w:r>
      <w:r w:rsidRPr="0050169B">
        <w:rPr>
          <w:rFonts w:cstheme="minorHAnsi"/>
        </w:rPr>
        <w:t xml:space="preserve"> across the 93 cities</w:t>
      </w:r>
      <w:r>
        <w:rPr>
          <w:rFonts w:cstheme="minorHAnsi"/>
        </w:rPr>
        <w:t xml:space="preserve"> considered in the GCT tool</w:t>
      </w:r>
      <w:r w:rsidRPr="0050169B">
        <w:rPr>
          <w:rFonts w:cstheme="minorHAnsi"/>
        </w:rPr>
        <w:t xml:space="preserve">.  Freeman’s definition identified 3,221 </w:t>
      </w:r>
      <w:r>
        <w:rPr>
          <w:rFonts w:cstheme="minorHAnsi"/>
        </w:rPr>
        <w:t>C</w:t>
      </w:r>
      <w:r w:rsidRPr="0050169B">
        <w:rPr>
          <w:rFonts w:cstheme="minorHAnsi"/>
        </w:rPr>
        <w:t>ensus tracts as gentrified between 2000 and 2010 compared to 78</w:t>
      </w:r>
      <w:r>
        <w:rPr>
          <w:rFonts w:cstheme="minorHAnsi"/>
        </w:rPr>
        <w:t>2</w:t>
      </w:r>
      <w:r w:rsidRPr="0050169B">
        <w:rPr>
          <w:rFonts w:cstheme="minorHAnsi"/>
        </w:rPr>
        <w:t xml:space="preserve"> for Ellen and </w:t>
      </w:r>
      <w:proofErr w:type="spellStart"/>
      <w:r w:rsidRPr="0050169B">
        <w:rPr>
          <w:rFonts w:cstheme="minorHAnsi"/>
        </w:rPr>
        <w:t>O’Regan</w:t>
      </w:r>
      <w:proofErr w:type="spellEnd"/>
      <w:r w:rsidRPr="0050169B">
        <w:rPr>
          <w:rFonts w:cstheme="minorHAnsi"/>
        </w:rPr>
        <w:t xml:space="preserve"> and 501 for </w:t>
      </w:r>
      <w:proofErr w:type="spellStart"/>
      <w:r w:rsidRPr="0050169B">
        <w:rPr>
          <w:rFonts w:cstheme="minorHAnsi"/>
        </w:rPr>
        <w:t>McKinnish</w:t>
      </w:r>
      <w:proofErr w:type="spellEnd"/>
      <w:r w:rsidRPr="0050169B">
        <w:rPr>
          <w:rFonts w:cstheme="minorHAnsi"/>
        </w:rPr>
        <w:t xml:space="preserve"> et al. </w:t>
      </w:r>
      <w:r>
        <w:rPr>
          <w:rFonts w:cstheme="minorHAnsi"/>
        </w:rPr>
        <w:t>O</w:t>
      </w:r>
      <w:r w:rsidRPr="0050169B">
        <w:rPr>
          <w:rFonts w:cstheme="minorHAnsi"/>
        </w:rPr>
        <w:t xml:space="preserve">ut of 3,787 total </w:t>
      </w:r>
      <w:r>
        <w:rPr>
          <w:rFonts w:cstheme="minorHAnsi"/>
        </w:rPr>
        <w:t xml:space="preserve">“gentrified” census </w:t>
      </w:r>
      <w:r w:rsidRPr="0050169B">
        <w:rPr>
          <w:rFonts w:cstheme="minorHAnsi"/>
        </w:rPr>
        <w:t>tracts</w:t>
      </w:r>
      <w:r>
        <w:rPr>
          <w:rFonts w:cstheme="minorHAnsi"/>
        </w:rPr>
        <w:t>, o</w:t>
      </w:r>
      <w:r w:rsidRPr="0050169B">
        <w:rPr>
          <w:rFonts w:cstheme="minorHAnsi"/>
        </w:rPr>
        <w:t>nly 152</w:t>
      </w:r>
      <w:r>
        <w:rPr>
          <w:rFonts w:cstheme="minorHAnsi"/>
        </w:rPr>
        <w:t xml:space="preserve"> tracts, or 4%, were identified by all three methods (Drew, 2019)</w:t>
      </w:r>
      <w:r w:rsidRPr="0050169B">
        <w:rPr>
          <w:rFonts w:cstheme="minorHAnsi"/>
        </w:rPr>
        <w:t>.</w:t>
      </w:r>
      <w:r>
        <w:rPr>
          <w:rFonts w:cstheme="minorHAnsi"/>
        </w:rPr>
        <w:t xml:space="preserve"> </w:t>
      </w:r>
    </w:p>
    <w:p w14:paraId="0183FCE8" w14:textId="77777777" w:rsidR="00D4244E" w:rsidRDefault="00D4244E" w:rsidP="00D4244E">
      <w:pPr>
        <w:autoSpaceDE w:val="0"/>
        <w:autoSpaceDN w:val="0"/>
        <w:adjustRightInd w:val="0"/>
        <w:spacing w:after="0" w:line="240" w:lineRule="auto"/>
        <w:ind w:firstLine="720"/>
        <w:rPr>
          <w:rFonts w:ascii="Calibri" w:hAnsi="Calibri" w:cs="Calibri"/>
          <w:color w:val="000000"/>
        </w:rPr>
      </w:pPr>
    </w:p>
    <w:p w14:paraId="4C1B9108" w14:textId="5E22D748" w:rsidR="006307AA" w:rsidRPr="00B90E53" w:rsidRDefault="006307AA" w:rsidP="00B90E53">
      <w:pPr>
        <w:pStyle w:val="Heading3"/>
        <w:rPr>
          <w:rFonts w:ascii="Calibri" w:hAnsi="Calibri" w:cs="Calibri"/>
          <w:color w:val="000000"/>
        </w:rPr>
      </w:pPr>
      <w:r w:rsidRPr="006307AA">
        <w:t>Consequences</w:t>
      </w:r>
      <w:r>
        <w:rPr>
          <w:rFonts w:ascii="Calibri" w:hAnsi="Calibri" w:cs="Calibri"/>
          <w:color w:val="000000"/>
        </w:rPr>
        <w:t xml:space="preserve"> </w:t>
      </w:r>
    </w:p>
    <w:p w14:paraId="0411E1A7" w14:textId="090DD8BC" w:rsidR="007B713A" w:rsidRDefault="00B44616" w:rsidP="00EB6849">
      <w:pPr>
        <w:ind w:firstLine="720"/>
        <w:rPr>
          <w:rFonts w:cstheme="minorHAnsi"/>
        </w:rPr>
      </w:pPr>
      <w:r>
        <w:rPr>
          <w:rFonts w:cstheme="minorHAnsi"/>
        </w:rPr>
        <w:t>The identification or labeling of g</w:t>
      </w:r>
      <w:r w:rsidR="00EB6849">
        <w:rPr>
          <w:rFonts w:cstheme="minorHAnsi"/>
        </w:rPr>
        <w:t xml:space="preserve">entrification </w:t>
      </w:r>
      <w:r>
        <w:rPr>
          <w:rFonts w:cstheme="minorHAnsi"/>
        </w:rPr>
        <w:t xml:space="preserve">is </w:t>
      </w:r>
      <w:r w:rsidR="00EB6849">
        <w:rPr>
          <w:rFonts w:cstheme="minorHAnsi"/>
        </w:rPr>
        <w:t xml:space="preserve">often </w:t>
      </w:r>
      <w:r>
        <w:rPr>
          <w:rFonts w:cstheme="minorHAnsi"/>
        </w:rPr>
        <w:t xml:space="preserve">only </w:t>
      </w:r>
      <w:r w:rsidR="00F86CC5">
        <w:rPr>
          <w:rFonts w:cstheme="minorHAnsi"/>
        </w:rPr>
        <w:t>the first</w:t>
      </w:r>
      <w:r>
        <w:rPr>
          <w:rFonts w:cstheme="minorHAnsi"/>
        </w:rPr>
        <w:t xml:space="preserve"> </w:t>
      </w:r>
      <w:r w:rsidR="00FC2305">
        <w:rPr>
          <w:rFonts w:cstheme="minorHAnsi"/>
        </w:rPr>
        <w:t>step</w:t>
      </w:r>
      <w:r w:rsidR="00EB6849">
        <w:rPr>
          <w:rFonts w:cstheme="minorHAnsi"/>
        </w:rPr>
        <w:t xml:space="preserve"> </w:t>
      </w:r>
      <w:r>
        <w:rPr>
          <w:rFonts w:cstheme="minorHAnsi"/>
        </w:rPr>
        <w:t xml:space="preserve">for </w:t>
      </w:r>
      <w:r w:rsidR="00EB6849">
        <w:rPr>
          <w:rFonts w:cstheme="minorHAnsi"/>
        </w:rPr>
        <w:t xml:space="preserve">studies attempting to investigate </w:t>
      </w:r>
      <w:r w:rsidR="008A68B7">
        <w:rPr>
          <w:rFonts w:cstheme="minorHAnsi"/>
        </w:rPr>
        <w:t xml:space="preserve">the extents, </w:t>
      </w:r>
      <w:r>
        <w:rPr>
          <w:rFonts w:cstheme="minorHAnsi"/>
        </w:rPr>
        <w:t>costs, benefits,</w:t>
      </w:r>
      <w:r w:rsidR="00EB6849">
        <w:rPr>
          <w:rFonts w:cstheme="minorHAnsi"/>
        </w:rPr>
        <w:t xml:space="preserve"> </w:t>
      </w:r>
      <w:r w:rsidR="00FE1EDF">
        <w:rPr>
          <w:rFonts w:cstheme="minorHAnsi"/>
        </w:rPr>
        <w:t xml:space="preserve">or </w:t>
      </w:r>
      <w:r w:rsidR="00EB6849">
        <w:rPr>
          <w:rFonts w:cstheme="minorHAnsi"/>
        </w:rPr>
        <w:t xml:space="preserve">causes </w:t>
      </w:r>
      <w:r w:rsidR="008A68B7">
        <w:rPr>
          <w:rFonts w:cstheme="minorHAnsi"/>
        </w:rPr>
        <w:t>of the proces</w:t>
      </w:r>
      <w:r w:rsidR="00EB6849">
        <w:rPr>
          <w:rFonts w:cstheme="minorHAnsi"/>
        </w:rPr>
        <w:t xml:space="preserve">s. </w:t>
      </w:r>
      <w:r w:rsidR="00F86CC5">
        <w:rPr>
          <w:rFonts w:cstheme="minorHAnsi"/>
        </w:rPr>
        <w:t>Substantial</w:t>
      </w:r>
      <w:r w:rsidR="00F86CC5">
        <w:rPr>
          <w:rFonts w:cstheme="minorHAnsi"/>
        </w:rPr>
        <w:t xml:space="preserve"> </w:t>
      </w:r>
      <w:r w:rsidR="00EB6849">
        <w:rPr>
          <w:rFonts w:cstheme="minorHAnsi"/>
        </w:rPr>
        <w:t>research ha</w:t>
      </w:r>
      <w:r w:rsidR="00896DDB">
        <w:rPr>
          <w:rFonts w:cstheme="minorHAnsi"/>
        </w:rPr>
        <w:t>s</w:t>
      </w:r>
      <w:r w:rsidR="00EB6849">
        <w:rPr>
          <w:rFonts w:cstheme="minorHAnsi"/>
        </w:rPr>
        <w:t xml:space="preserve"> focused on characterizing the demographics of gentrifiers, displacement rates, crime, education, health, and economic outcomes of gentrification</w:t>
      </w:r>
      <w:r w:rsidR="00F86CC5">
        <w:rPr>
          <w:rFonts w:cstheme="minorHAnsi"/>
        </w:rPr>
        <w:t xml:space="preserve"> (Source)</w:t>
      </w:r>
      <w:r w:rsidR="00EB6849">
        <w:rPr>
          <w:rFonts w:cstheme="minorHAnsi"/>
        </w:rPr>
        <w:t xml:space="preserve">. </w:t>
      </w:r>
      <w:r w:rsidR="00896DDB">
        <w:rPr>
          <w:rFonts w:cstheme="minorHAnsi"/>
        </w:rPr>
        <w:t>T</w:t>
      </w:r>
      <w:r w:rsidR="00EB6849">
        <w:rPr>
          <w:rFonts w:cstheme="minorHAnsi"/>
        </w:rPr>
        <w:t>hese studies</w:t>
      </w:r>
      <w:r w:rsidR="00896DDB">
        <w:rPr>
          <w:rFonts w:cstheme="minorHAnsi"/>
        </w:rPr>
        <w:t xml:space="preserve"> share </w:t>
      </w:r>
      <w:r w:rsidR="005F468E">
        <w:rPr>
          <w:rFonts w:cstheme="minorHAnsi"/>
        </w:rPr>
        <w:t>a</w:t>
      </w:r>
      <w:r w:rsidR="00896DDB">
        <w:rPr>
          <w:rFonts w:cstheme="minorHAnsi"/>
        </w:rPr>
        <w:t xml:space="preserve"> common </w:t>
      </w:r>
      <w:r w:rsidR="005F468E">
        <w:rPr>
          <w:rFonts w:cstheme="minorHAnsi"/>
        </w:rPr>
        <w:t>need</w:t>
      </w:r>
      <w:r w:rsidR="00896DDB">
        <w:rPr>
          <w:rFonts w:cstheme="minorHAnsi"/>
        </w:rPr>
        <w:t xml:space="preserve"> to</w:t>
      </w:r>
      <w:r w:rsidR="00EB6849">
        <w:rPr>
          <w:rFonts w:cstheme="minorHAnsi"/>
        </w:rPr>
        <w:t xml:space="preserve"> operationalize a definition </w:t>
      </w:r>
      <w:r w:rsidR="00896DDB">
        <w:rPr>
          <w:rFonts w:cstheme="minorHAnsi"/>
        </w:rPr>
        <w:t xml:space="preserve">of gentrification </w:t>
      </w:r>
      <w:r w:rsidR="00FC2305">
        <w:rPr>
          <w:rFonts w:cstheme="minorHAnsi"/>
        </w:rPr>
        <w:t>to</w:t>
      </w:r>
      <w:r w:rsidR="00EB6849">
        <w:rPr>
          <w:rFonts w:cstheme="minorHAnsi"/>
        </w:rPr>
        <w:t xml:space="preserve"> </w:t>
      </w:r>
      <w:r w:rsidR="00A55550">
        <w:rPr>
          <w:rFonts w:cstheme="minorHAnsi"/>
        </w:rPr>
        <w:t>differentiate</w:t>
      </w:r>
      <w:r w:rsidR="00EB6849">
        <w:rPr>
          <w:rFonts w:cstheme="minorHAnsi"/>
        </w:rPr>
        <w:t xml:space="preserve"> gentrified areas </w:t>
      </w:r>
      <w:r w:rsidR="00896DDB">
        <w:rPr>
          <w:rFonts w:cstheme="minorHAnsi"/>
        </w:rPr>
        <w:t xml:space="preserve">apart </w:t>
      </w:r>
      <w:r w:rsidR="00EB6849">
        <w:rPr>
          <w:rFonts w:cstheme="minorHAnsi"/>
        </w:rPr>
        <w:t>from non-ge</w:t>
      </w:r>
      <w:r w:rsidR="00896DDB">
        <w:rPr>
          <w:rFonts w:cstheme="minorHAnsi"/>
        </w:rPr>
        <w:t>ntrified</w:t>
      </w:r>
      <w:r w:rsidR="005F468E">
        <w:rPr>
          <w:rFonts w:cstheme="minorHAnsi"/>
        </w:rPr>
        <w:t xml:space="preserve"> or</w:t>
      </w:r>
      <w:r w:rsidR="00EB6849">
        <w:rPr>
          <w:rFonts w:cstheme="minorHAnsi"/>
        </w:rPr>
        <w:t xml:space="preserve"> control areas. The</w:t>
      </w:r>
      <w:r w:rsidR="00867ABE">
        <w:rPr>
          <w:rFonts w:cstheme="minorHAnsi"/>
        </w:rPr>
        <w:t>se</w:t>
      </w:r>
      <w:r w:rsidR="00EB6849">
        <w:rPr>
          <w:rFonts w:cstheme="minorHAnsi"/>
        </w:rPr>
        <w:t xml:space="preserve"> </w:t>
      </w:r>
      <w:r w:rsidR="00896DDB">
        <w:rPr>
          <w:rFonts w:cstheme="minorHAnsi"/>
        </w:rPr>
        <w:t>studies</w:t>
      </w:r>
      <w:r w:rsidR="00EB6849">
        <w:rPr>
          <w:rFonts w:cstheme="minorHAnsi"/>
        </w:rPr>
        <w:t xml:space="preserve"> most commonly</w:t>
      </w:r>
      <w:r w:rsidR="00896DDB">
        <w:rPr>
          <w:rFonts w:cstheme="minorHAnsi"/>
        </w:rPr>
        <w:t xml:space="preserve"> </w:t>
      </w:r>
      <w:r w:rsidR="00EB6849">
        <w:rPr>
          <w:rFonts w:cstheme="minorHAnsi"/>
        </w:rPr>
        <w:t>adapt</w:t>
      </w:r>
      <w:r w:rsidR="00896DDB">
        <w:rPr>
          <w:rFonts w:cstheme="minorHAnsi"/>
        </w:rPr>
        <w:t xml:space="preserve"> a version</w:t>
      </w:r>
      <w:r w:rsidR="00EB6849">
        <w:rPr>
          <w:rFonts w:cstheme="minorHAnsi"/>
        </w:rPr>
        <w:t xml:space="preserve"> of</w:t>
      </w:r>
      <w:r w:rsidR="00896DDB">
        <w:rPr>
          <w:rFonts w:cstheme="minorHAnsi"/>
        </w:rPr>
        <w:t xml:space="preserve"> the</w:t>
      </w:r>
      <w:r w:rsidR="00EB6849">
        <w:rPr>
          <w:rFonts w:cstheme="minorHAnsi"/>
        </w:rPr>
        <w:t xml:space="preserve"> </w:t>
      </w:r>
      <w:r w:rsidR="00B12252">
        <w:rPr>
          <w:rFonts w:cstheme="minorHAnsi"/>
        </w:rPr>
        <w:t>threshold</w:t>
      </w:r>
      <w:r w:rsidR="00EB6849">
        <w:rPr>
          <w:rFonts w:cstheme="minorHAnsi"/>
        </w:rPr>
        <w:t xml:space="preserve"> methods</w:t>
      </w:r>
      <w:r w:rsidR="00896DDB">
        <w:rPr>
          <w:rFonts w:cstheme="minorHAnsi"/>
        </w:rPr>
        <w:t xml:space="preserve"> discussed in the previous section.</w:t>
      </w:r>
      <w:r w:rsidR="007B713A">
        <w:rPr>
          <w:rFonts w:cstheme="minorHAnsi"/>
        </w:rPr>
        <w:t xml:space="preserve"> </w:t>
      </w:r>
      <w:r w:rsidR="007B713A" w:rsidRPr="00C91C4F">
        <w:rPr>
          <w:rFonts w:cstheme="minorHAnsi"/>
        </w:rPr>
        <w:t>In doing so, these</w:t>
      </w:r>
      <w:r w:rsidR="007B713A">
        <w:rPr>
          <w:rFonts w:cstheme="minorHAnsi"/>
        </w:rPr>
        <w:t xml:space="preserve"> </w:t>
      </w:r>
      <w:r w:rsidR="007B713A" w:rsidRPr="00C91C4F">
        <w:rPr>
          <w:rFonts w:cstheme="minorHAnsi"/>
        </w:rPr>
        <w:t xml:space="preserve">methods </w:t>
      </w:r>
      <w:r w:rsidR="005F468E" w:rsidRPr="00C91C4F">
        <w:rPr>
          <w:rFonts w:cstheme="minorHAnsi"/>
        </w:rPr>
        <w:t>often</w:t>
      </w:r>
      <w:r w:rsidR="007B713A" w:rsidRPr="00C91C4F">
        <w:rPr>
          <w:rFonts w:cstheme="minorHAnsi"/>
        </w:rPr>
        <w:t xml:space="preserve"> include the poorest populations within “reference” </w:t>
      </w:r>
      <w:r w:rsidR="00FC2305">
        <w:rPr>
          <w:rFonts w:cstheme="minorHAnsi"/>
        </w:rPr>
        <w:t xml:space="preserve">or </w:t>
      </w:r>
      <w:r w:rsidR="007B713A" w:rsidRPr="00C91C4F">
        <w:rPr>
          <w:rFonts w:cstheme="minorHAnsi"/>
        </w:rPr>
        <w:t xml:space="preserve">non-gentrifying locations, creating an artificially vulnerable </w:t>
      </w:r>
      <w:r w:rsidR="00FC2305">
        <w:rPr>
          <w:rFonts w:cstheme="minorHAnsi"/>
        </w:rPr>
        <w:t xml:space="preserve">sample </w:t>
      </w:r>
      <w:r w:rsidR="007B713A" w:rsidRPr="00C91C4F">
        <w:rPr>
          <w:rFonts w:cstheme="minorHAnsi"/>
        </w:rPr>
        <w:t>to compare against.</w:t>
      </w:r>
    </w:p>
    <w:p w14:paraId="3C234487" w14:textId="081ED324" w:rsidR="00083624" w:rsidRDefault="00896DDB" w:rsidP="00FE1EDF">
      <w:pPr>
        <w:ind w:firstLine="720"/>
      </w:pPr>
      <w:r>
        <w:rPr>
          <w:rFonts w:cstheme="minorHAnsi"/>
        </w:rPr>
        <w:t>U</w:t>
      </w:r>
      <w:r w:rsidR="00EB6849">
        <w:rPr>
          <w:rFonts w:cstheme="minorHAnsi"/>
        </w:rPr>
        <w:t>nsurprisingly</w:t>
      </w:r>
      <w:r>
        <w:rPr>
          <w:rFonts w:cstheme="minorHAnsi"/>
        </w:rPr>
        <w:t>, these studies have</w:t>
      </w:r>
      <w:r w:rsidR="00EB6849">
        <w:rPr>
          <w:rFonts w:cstheme="minorHAnsi"/>
        </w:rPr>
        <w:t xml:space="preserve"> produce</w:t>
      </w:r>
      <w:r>
        <w:rPr>
          <w:rFonts w:cstheme="minorHAnsi"/>
        </w:rPr>
        <w:t>d</w:t>
      </w:r>
      <w:r w:rsidR="00EB6849">
        <w:rPr>
          <w:rFonts w:cstheme="minorHAnsi"/>
        </w:rPr>
        <w:t xml:space="preserve"> a </w:t>
      </w:r>
      <w:r>
        <w:rPr>
          <w:rFonts w:cstheme="minorHAnsi"/>
        </w:rPr>
        <w:t>trove</w:t>
      </w:r>
      <w:r w:rsidR="00EB6849">
        <w:rPr>
          <w:rFonts w:cstheme="minorHAnsi"/>
        </w:rPr>
        <w:t xml:space="preserve"> of contradictory results regarding the costs and benefits of the process.  The</w:t>
      </w:r>
      <w:r w:rsidR="00A55550">
        <w:rPr>
          <w:rFonts w:cstheme="minorHAnsi"/>
        </w:rPr>
        <w:t>se</w:t>
      </w:r>
      <w:r w:rsidR="00EB6849">
        <w:rPr>
          <w:rFonts w:cstheme="minorHAnsi"/>
        </w:rPr>
        <w:t xml:space="preserve"> mixed results</w:t>
      </w:r>
      <w:r>
        <w:rPr>
          <w:rFonts w:cstheme="minorHAnsi"/>
        </w:rPr>
        <w:t xml:space="preserve"> have armed</w:t>
      </w:r>
      <w:r w:rsidR="00EB6849">
        <w:rPr>
          <w:rFonts w:cstheme="minorHAnsi"/>
        </w:rPr>
        <w:t xml:space="preserve"> both supporters and oppo</w:t>
      </w:r>
      <w:r w:rsidR="00867ABE">
        <w:rPr>
          <w:rFonts w:cstheme="minorHAnsi"/>
        </w:rPr>
        <w:t xml:space="preserve">nents </w:t>
      </w:r>
      <w:r w:rsidR="00EB6849">
        <w:rPr>
          <w:rFonts w:cstheme="minorHAnsi"/>
        </w:rPr>
        <w:t xml:space="preserve">of gentrification with quantitative evidence to further entrench their views. </w:t>
      </w:r>
      <w:r w:rsidR="007B4EC0">
        <w:rPr>
          <w:rFonts w:cstheme="minorHAnsi"/>
        </w:rPr>
        <w:t>The</w:t>
      </w:r>
      <w:r w:rsidR="00C31C1A">
        <w:rPr>
          <w:rFonts w:cstheme="minorHAnsi"/>
        </w:rPr>
        <w:t xml:space="preserve"> </w:t>
      </w:r>
      <w:r w:rsidR="003467F5">
        <w:rPr>
          <w:rFonts w:cstheme="minorHAnsi"/>
        </w:rPr>
        <w:t xml:space="preserve">provocative </w:t>
      </w:r>
      <w:r w:rsidR="007B4EC0">
        <w:rPr>
          <w:rFonts w:cstheme="minorHAnsi"/>
        </w:rPr>
        <w:t>conclusions of the</w:t>
      </w:r>
      <w:r w:rsidR="008A22ED">
        <w:rPr>
          <w:rFonts w:cstheme="minorHAnsi"/>
        </w:rPr>
        <w:t xml:space="preserve"> three </w:t>
      </w:r>
      <w:r w:rsidR="00A55550">
        <w:rPr>
          <w:rFonts w:cstheme="minorHAnsi"/>
        </w:rPr>
        <w:t>cited</w:t>
      </w:r>
      <w:r w:rsidR="008A22ED">
        <w:rPr>
          <w:rFonts w:cstheme="minorHAnsi"/>
        </w:rPr>
        <w:t xml:space="preserve"> methods </w:t>
      </w:r>
      <w:r w:rsidR="005F468E">
        <w:rPr>
          <w:rFonts w:cstheme="minorHAnsi"/>
        </w:rPr>
        <w:t xml:space="preserve">above </w:t>
      </w:r>
      <w:r w:rsidR="00C31C1A">
        <w:rPr>
          <w:rFonts w:cstheme="minorHAnsi"/>
        </w:rPr>
        <w:t xml:space="preserve">were </w:t>
      </w:r>
      <w:r w:rsidR="005F468E">
        <w:rPr>
          <w:rFonts w:cstheme="minorHAnsi"/>
        </w:rPr>
        <w:t>used to</w:t>
      </w:r>
      <w:r w:rsidR="00C31C1A">
        <w:rPr>
          <w:rFonts w:cstheme="minorHAnsi"/>
        </w:rPr>
        <w:t xml:space="preserve"> mitigat</w:t>
      </w:r>
      <w:r w:rsidR="005F468E">
        <w:rPr>
          <w:rFonts w:cstheme="minorHAnsi"/>
        </w:rPr>
        <w:t>e</w:t>
      </w:r>
      <w:r w:rsidR="00C31C1A">
        <w:rPr>
          <w:rFonts w:cstheme="minorHAnsi"/>
        </w:rPr>
        <w:t xml:space="preserve"> the</w:t>
      </w:r>
      <w:r w:rsidR="00A55550">
        <w:rPr>
          <w:rFonts w:cstheme="minorHAnsi"/>
        </w:rPr>
        <w:t xml:space="preserve"> external threats of gentrification on vulnerable residents</w:t>
      </w:r>
      <w:r w:rsidR="00C31C1A">
        <w:rPr>
          <w:rFonts w:cstheme="minorHAnsi"/>
        </w:rPr>
        <w:t xml:space="preserve"> via public media</w:t>
      </w:r>
      <w:r w:rsidR="007B4EC0">
        <w:rPr>
          <w:rFonts w:cstheme="minorHAnsi"/>
        </w:rPr>
        <w:t>.</w:t>
      </w:r>
      <w:r w:rsidR="008A22ED">
        <w:rPr>
          <w:rFonts w:cstheme="minorHAnsi"/>
        </w:rPr>
        <w:t xml:space="preserve"> Ellen and Gould conclude, “</w:t>
      </w:r>
      <w:r w:rsidR="008A22ED" w:rsidRPr="008A22ED">
        <w:rPr>
          <w:rFonts w:cstheme="minorHAnsi"/>
          <w:i/>
          <w:iCs/>
        </w:rPr>
        <w:t>original residents are much less harmed than is typically assumed. They do not appear to be displaced in the course of change, they experience modest gains in income during the process, and they are more satisfied with their neighborhoods in the wake of the change.</w:t>
      </w:r>
      <w:r w:rsidR="008A22ED" w:rsidRPr="008A22ED">
        <w:rPr>
          <w:rFonts w:cstheme="minorHAnsi"/>
        </w:rPr>
        <w:t>”</w:t>
      </w:r>
      <w:r w:rsidR="008A22ED">
        <w:rPr>
          <w:rFonts w:cstheme="minorHAnsi"/>
        </w:rPr>
        <w:t xml:space="preserve"> </w:t>
      </w:r>
      <w:r w:rsidR="00EB6849">
        <w:rPr>
          <w:rFonts w:cstheme="minorHAnsi"/>
        </w:rPr>
        <w:t>T</w:t>
      </w:r>
      <w:r w:rsidR="00867ABE">
        <w:rPr>
          <w:rFonts w:cstheme="minorHAnsi"/>
        </w:rPr>
        <w:t xml:space="preserve">he conclusions of </w:t>
      </w:r>
      <w:r w:rsidR="008A22ED">
        <w:rPr>
          <w:rFonts w:cstheme="minorHAnsi"/>
        </w:rPr>
        <w:t xml:space="preserve">the other </w:t>
      </w:r>
      <w:r w:rsidR="00867ABE">
        <w:rPr>
          <w:rFonts w:cstheme="minorHAnsi"/>
        </w:rPr>
        <w:t>t</w:t>
      </w:r>
      <w:r w:rsidR="00B90E53">
        <w:rPr>
          <w:rFonts w:cstheme="minorHAnsi"/>
        </w:rPr>
        <w:t>wo</w:t>
      </w:r>
      <w:r w:rsidR="00EB6849">
        <w:rPr>
          <w:rFonts w:cstheme="minorHAnsi"/>
        </w:rPr>
        <w:t xml:space="preserve"> studies</w:t>
      </w:r>
      <w:r w:rsidR="00B90E53">
        <w:rPr>
          <w:rFonts w:cstheme="minorHAnsi"/>
        </w:rPr>
        <w:t xml:space="preserve"> </w:t>
      </w:r>
      <w:r w:rsidR="008A22ED">
        <w:rPr>
          <w:rFonts w:cstheme="minorHAnsi"/>
        </w:rPr>
        <w:t>were foundational to</w:t>
      </w:r>
      <w:r w:rsidR="00EB6849">
        <w:rPr>
          <w:rFonts w:cstheme="minorHAnsi"/>
        </w:rPr>
        <w:t xml:space="preserve"> news articles titled “</w:t>
      </w:r>
      <w:r w:rsidR="00EB6849" w:rsidRPr="004C5047">
        <w:rPr>
          <w:rFonts w:cstheme="minorHAnsi"/>
          <w:i/>
          <w:iCs/>
        </w:rPr>
        <w:t>Gentrification: Not Ousting the Poor?”</w:t>
      </w:r>
      <w:r w:rsidR="00EB6849">
        <w:rPr>
          <w:rFonts w:cstheme="minorHAnsi"/>
        </w:rPr>
        <w:t xml:space="preserve"> (</w:t>
      </w:r>
      <w:proofErr w:type="spellStart"/>
      <w:r w:rsidR="00EB6849">
        <w:rPr>
          <w:rFonts w:cstheme="minorHAnsi"/>
        </w:rPr>
        <w:t>Kiviat</w:t>
      </w:r>
      <w:proofErr w:type="spellEnd"/>
      <w:r w:rsidR="00EB6849">
        <w:rPr>
          <w:rFonts w:cstheme="minorHAnsi"/>
        </w:rPr>
        <w:t>, 2008) and “</w:t>
      </w:r>
      <w:r w:rsidR="00EB6849" w:rsidRPr="004C5047">
        <w:rPr>
          <w:i/>
          <w:iCs/>
        </w:rPr>
        <w:t>Gentrification is a Boost to Everyone</w:t>
      </w:r>
      <w:r w:rsidR="00EB6849">
        <w:t xml:space="preserve">” (Hampson, 2005). </w:t>
      </w:r>
    </w:p>
    <w:p w14:paraId="4D7E4992" w14:textId="73405945" w:rsidR="00EB6849" w:rsidRDefault="00C91C4F" w:rsidP="00997FAA">
      <w:pPr>
        <w:ind w:firstLine="720"/>
      </w:pPr>
      <w:r>
        <w:t>Many re</w:t>
      </w:r>
      <w:r w:rsidR="00EB6849">
        <w:t>sidents</w:t>
      </w:r>
      <w:r w:rsidR="00867ABE">
        <w:t xml:space="preserve">, specifically renters, </w:t>
      </w:r>
      <w:r w:rsidR="00EB6849">
        <w:t>lack the</w:t>
      </w:r>
      <w:r>
        <w:t xml:space="preserve"> financial or social</w:t>
      </w:r>
      <w:r w:rsidR="00EB6849">
        <w:t xml:space="preserve"> </w:t>
      </w:r>
      <w:r w:rsidR="00DE44C1">
        <w:t>ability</w:t>
      </w:r>
      <w:r w:rsidR="00DE44C1">
        <w:t xml:space="preserve"> </w:t>
      </w:r>
      <w:r w:rsidR="00EB6849">
        <w:t xml:space="preserve">to </w:t>
      </w:r>
      <w:r w:rsidR="00867ABE">
        <w:t>keep pace with</w:t>
      </w:r>
      <w:r w:rsidR="00EB6849">
        <w:t xml:space="preserve"> the </w:t>
      </w:r>
      <w:r>
        <w:t>stressors</w:t>
      </w:r>
      <w:r w:rsidR="00EB6849">
        <w:t xml:space="preserve"> </w:t>
      </w:r>
      <w:r w:rsidR="00867ABE">
        <w:t>introduced by gentrification</w:t>
      </w:r>
      <w:r>
        <w:t>.</w:t>
      </w:r>
      <w:r w:rsidR="00EB6849">
        <w:t xml:space="preserve"> Therefore, it is important to highlight that those displaced early in the gentrification process </w:t>
      </w:r>
      <w:r w:rsidR="006131B2">
        <w:t>may be</w:t>
      </w:r>
      <w:r w:rsidR="00EB6849">
        <w:t xml:space="preserve"> </w:t>
      </w:r>
      <w:r w:rsidR="006131B2">
        <w:t>un</w:t>
      </w:r>
      <w:r w:rsidR="00EB6849">
        <w:t xml:space="preserve">able to realize </w:t>
      </w:r>
      <w:r w:rsidR="00EB6849">
        <w:rPr>
          <w:i/>
          <w:iCs/>
        </w:rPr>
        <w:t xml:space="preserve">any </w:t>
      </w:r>
      <w:r w:rsidR="00EB6849">
        <w:t xml:space="preserve">of its reputed benefits. </w:t>
      </w:r>
      <w:r w:rsidR="00693CCA">
        <w:t>The o</w:t>
      </w:r>
      <w:r w:rsidR="006131B2">
        <w:t>bfuscat</w:t>
      </w:r>
      <w:r w:rsidR="00693CCA">
        <w:t>ed</w:t>
      </w:r>
      <w:r w:rsidR="00867ABE">
        <w:t xml:space="preserve"> public </w:t>
      </w:r>
      <w:r w:rsidR="00867ABE">
        <w:lastRenderedPageBreak/>
        <w:t xml:space="preserve">sentiment surrounding the </w:t>
      </w:r>
      <w:r w:rsidR="00EB6849">
        <w:t>problem</w:t>
      </w:r>
      <w:r w:rsidR="00867ABE">
        <w:t xml:space="preserve"> of</w:t>
      </w:r>
      <w:r w:rsidR="00EB6849">
        <w:t xml:space="preserve"> gentrification</w:t>
      </w:r>
      <w:r w:rsidR="00867ABE">
        <w:t xml:space="preserve"> is divided squarely along the</w:t>
      </w:r>
      <w:r w:rsidR="00EB6849">
        <w:t xml:space="preserve"> unequal distribution of its costs and benefits. The costs </w:t>
      </w:r>
      <w:r w:rsidR="006131B2">
        <w:t xml:space="preserve">of gentrification </w:t>
      </w:r>
      <w:r w:rsidR="00EB6849">
        <w:t>are disproportionately</w:t>
      </w:r>
      <w:r w:rsidR="006131B2">
        <w:t xml:space="preserve"> placed</w:t>
      </w:r>
      <w:r w:rsidR="00EB6849">
        <w:t xml:space="preserve"> </w:t>
      </w:r>
      <w:r w:rsidR="006131B2">
        <w:t>onto</w:t>
      </w:r>
      <w:r w:rsidR="00EB6849">
        <w:t xml:space="preserve"> </w:t>
      </w:r>
      <w:r w:rsidR="006131B2">
        <w:t>our</w:t>
      </w:r>
      <w:r w:rsidR="00EB6849">
        <w:t xml:space="preserve"> </w:t>
      </w:r>
      <w:r w:rsidR="006131B2">
        <w:t xml:space="preserve">communities’ </w:t>
      </w:r>
      <w:r w:rsidR="00EB6849">
        <w:t>most vulnerable populations</w:t>
      </w:r>
      <w:r w:rsidR="006131B2">
        <w:t xml:space="preserve">; </w:t>
      </w:r>
      <w:r w:rsidR="00EB6849">
        <w:t xml:space="preserve">groups that have that have borne centuries worth of </w:t>
      </w:r>
      <w:r w:rsidR="006131B2">
        <w:t xml:space="preserve">compounding </w:t>
      </w:r>
      <w:r w:rsidR="00EB6849">
        <w:t>costs</w:t>
      </w:r>
      <w:r w:rsidR="006131B2">
        <w:t xml:space="preserve"> manifested in</w:t>
      </w:r>
      <w:r w:rsidR="0026530D">
        <w:t xml:space="preserve"> </w:t>
      </w:r>
      <w:r w:rsidR="00EB6849">
        <w:t xml:space="preserve">slavery, segregation, </w:t>
      </w:r>
      <w:r w:rsidR="006131B2">
        <w:t xml:space="preserve">systemic </w:t>
      </w:r>
      <w:r w:rsidR="00EB6849">
        <w:t xml:space="preserve">racism, </w:t>
      </w:r>
      <w:r w:rsidR="006131B2">
        <w:t>and</w:t>
      </w:r>
      <w:r w:rsidR="00EB6849">
        <w:t xml:space="preserve"> discrimination. In this light, gentrification is </w:t>
      </w:r>
      <w:r w:rsidR="0026530D">
        <w:t>fundamentally</w:t>
      </w:r>
      <w:r w:rsidR="00EB6849">
        <w:t xml:space="preserve"> ill-suited for analyses of net effects, especially when th</w:t>
      </w:r>
      <w:r w:rsidR="006307AA">
        <w:t xml:space="preserve">e methods used to identify the process hinge on </w:t>
      </w:r>
      <w:r w:rsidR="0026530D">
        <w:t xml:space="preserve">such </w:t>
      </w:r>
      <w:r w:rsidR="006307AA">
        <w:t>an “</w:t>
      </w:r>
      <w:r w:rsidR="006307AA" w:rsidRPr="00C91C4F">
        <w:rPr>
          <w:i/>
          <w:iCs/>
        </w:rPr>
        <w:t>admittedly arbitrary threshold</w:t>
      </w:r>
      <w:r w:rsidR="006307AA">
        <w:t>” (Freeman, 2005)</w:t>
      </w:r>
      <w:r w:rsidR="00EB6849">
        <w:t xml:space="preserve">. </w:t>
      </w:r>
    </w:p>
    <w:p w14:paraId="3024681D" w14:textId="2433DACB" w:rsidR="006307AA" w:rsidRPr="0026530D" w:rsidRDefault="00693CCA" w:rsidP="00B50687">
      <w:pPr>
        <w:autoSpaceDE w:val="0"/>
        <w:autoSpaceDN w:val="0"/>
        <w:adjustRightInd w:val="0"/>
        <w:spacing w:after="0" w:line="240" w:lineRule="auto"/>
        <w:ind w:firstLine="720"/>
        <w:rPr>
          <w:rFonts w:ascii="Calibri" w:hAnsi="Calibri" w:cs="Calibri"/>
          <w:strike/>
          <w:color w:val="000000"/>
        </w:rPr>
      </w:pPr>
      <w:r w:rsidRPr="0026530D">
        <w:rPr>
          <w:rFonts w:ascii="Calibri" w:hAnsi="Calibri" w:cs="Calibri"/>
          <w:strike/>
          <w:color w:val="000000"/>
        </w:rPr>
        <w:t xml:space="preserve">The </w:t>
      </w:r>
      <w:r w:rsidR="00997FAA" w:rsidRPr="0026530D">
        <w:rPr>
          <w:rFonts w:ascii="Calibri" w:hAnsi="Calibri" w:cs="Calibri"/>
          <w:strike/>
          <w:color w:val="000000"/>
        </w:rPr>
        <w:t>loose</w:t>
      </w:r>
      <w:r w:rsidR="006307AA" w:rsidRPr="0026530D">
        <w:rPr>
          <w:rFonts w:ascii="Calibri" w:hAnsi="Calibri" w:cs="Calibri"/>
          <w:strike/>
          <w:color w:val="000000"/>
        </w:rPr>
        <w:t xml:space="preserve"> conceptual </w:t>
      </w:r>
      <w:r w:rsidR="00854712" w:rsidRPr="0026530D">
        <w:rPr>
          <w:rFonts w:ascii="Calibri" w:hAnsi="Calibri" w:cs="Calibri"/>
          <w:strike/>
          <w:color w:val="000000"/>
        </w:rPr>
        <w:t>definition</w:t>
      </w:r>
      <w:r w:rsidRPr="0026530D">
        <w:rPr>
          <w:rFonts w:ascii="Calibri" w:hAnsi="Calibri" w:cs="Calibri"/>
          <w:strike/>
          <w:color w:val="000000"/>
        </w:rPr>
        <w:t xml:space="preserve"> of gentrification has afforded brittle operational methods to identify the process.</w:t>
      </w:r>
      <w:r w:rsidR="006307AA" w:rsidRPr="0026530D">
        <w:rPr>
          <w:rFonts w:ascii="Calibri" w:hAnsi="Calibri" w:cs="Calibri"/>
          <w:strike/>
          <w:color w:val="000000"/>
        </w:rPr>
        <w:t xml:space="preserve"> </w:t>
      </w:r>
      <w:r w:rsidR="00854712" w:rsidRPr="0026530D">
        <w:rPr>
          <w:rFonts w:ascii="Calibri" w:hAnsi="Calibri" w:cs="Calibri"/>
          <w:strike/>
          <w:color w:val="000000"/>
        </w:rPr>
        <w:t>T</w:t>
      </w:r>
      <w:r w:rsidR="006307AA" w:rsidRPr="0026530D">
        <w:rPr>
          <w:rFonts w:ascii="Calibri" w:hAnsi="Calibri" w:cs="Calibri"/>
          <w:strike/>
          <w:color w:val="000000"/>
        </w:rPr>
        <w:t>heir sensitivit</w:t>
      </w:r>
      <w:r w:rsidR="00854712" w:rsidRPr="0026530D">
        <w:rPr>
          <w:rFonts w:ascii="Calibri" w:hAnsi="Calibri" w:cs="Calibri"/>
          <w:strike/>
          <w:color w:val="000000"/>
        </w:rPr>
        <w:t>ies and subjectivities</w:t>
      </w:r>
      <w:r w:rsidR="006307AA" w:rsidRPr="0026530D">
        <w:rPr>
          <w:rFonts w:ascii="Calibri" w:hAnsi="Calibri" w:cs="Calibri"/>
          <w:strike/>
          <w:color w:val="000000"/>
        </w:rPr>
        <w:t xml:space="preserve"> </w:t>
      </w:r>
      <w:r w:rsidR="00997FAA" w:rsidRPr="0026530D">
        <w:rPr>
          <w:rFonts w:ascii="Calibri" w:hAnsi="Calibri" w:cs="Calibri"/>
          <w:strike/>
          <w:color w:val="000000"/>
        </w:rPr>
        <w:t>produce a</w:t>
      </w:r>
      <w:r w:rsidR="005F5BBA" w:rsidRPr="0026530D">
        <w:rPr>
          <w:rFonts w:ascii="Calibri" w:hAnsi="Calibri" w:cs="Calibri"/>
          <w:strike/>
          <w:color w:val="000000"/>
        </w:rPr>
        <w:t xml:space="preserve"> </w:t>
      </w:r>
      <w:r w:rsidR="00997FAA" w:rsidRPr="0026530D">
        <w:rPr>
          <w:rFonts w:ascii="Calibri" w:hAnsi="Calibri" w:cs="Calibri"/>
          <w:strike/>
          <w:color w:val="000000"/>
        </w:rPr>
        <w:t>dependent</w:t>
      </w:r>
      <w:r w:rsidRPr="0026530D">
        <w:rPr>
          <w:rFonts w:ascii="Calibri" w:hAnsi="Calibri" w:cs="Calibri"/>
          <w:strike/>
          <w:color w:val="000000"/>
        </w:rPr>
        <w:t>/</w:t>
      </w:r>
      <w:proofErr w:type="spellStart"/>
      <w:r w:rsidRPr="0026530D">
        <w:rPr>
          <w:rFonts w:ascii="Calibri" w:hAnsi="Calibri" w:cs="Calibri"/>
          <w:strike/>
          <w:color w:val="000000"/>
        </w:rPr>
        <w:t>independant</w:t>
      </w:r>
      <w:proofErr w:type="spellEnd"/>
      <w:r w:rsidR="00997FAA" w:rsidRPr="0026530D">
        <w:rPr>
          <w:rFonts w:ascii="Calibri" w:hAnsi="Calibri" w:cs="Calibri"/>
          <w:strike/>
          <w:color w:val="000000"/>
        </w:rPr>
        <w:t xml:space="preserve"> variable that</w:t>
      </w:r>
      <w:r w:rsidR="006307AA" w:rsidRPr="0026530D">
        <w:rPr>
          <w:rFonts w:ascii="Calibri" w:hAnsi="Calibri" w:cs="Calibri"/>
          <w:strike/>
          <w:color w:val="000000"/>
        </w:rPr>
        <w:t xml:space="preserve"> </w:t>
      </w:r>
      <w:r w:rsidR="00997FAA" w:rsidRPr="0026530D">
        <w:rPr>
          <w:rFonts w:ascii="Calibri" w:hAnsi="Calibri" w:cs="Calibri"/>
          <w:strike/>
          <w:color w:val="000000"/>
        </w:rPr>
        <w:t>resists</w:t>
      </w:r>
      <w:r w:rsidR="006307AA" w:rsidRPr="0026530D">
        <w:rPr>
          <w:rFonts w:ascii="Calibri" w:hAnsi="Calibri" w:cs="Calibri"/>
          <w:strike/>
          <w:color w:val="000000"/>
        </w:rPr>
        <w:t xml:space="preserve"> generaliza</w:t>
      </w:r>
      <w:r w:rsidR="00997FAA" w:rsidRPr="0026530D">
        <w:rPr>
          <w:rFonts w:ascii="Calibri" w:hAnsi="Calibri" w:cs="Calibri"/>
          <w:strike/>
          <w:color w:val="000000"/>
        </w:rPr>
        <w:t>tion</w:t>
      </w:r>
      <w:r w:rsidR="00854712" w:rsidRPr="0026530D">
        <w:rPr>
          <w:rFonts w:ascii="Calibri" w:hAnsi="Calibri" w:cs="Calibri"/>
          <w:strike/>
          <w:color w:val="000000"/>
        </w:rPr>
        <w:t>s</w:t>
      </w:r>
      <w:r w:rsidR="00997FAA" w:rsidRPr="0026530D">
        <w:rPr>
          <w:rFonts w:ascii="Calibri" w:hAnsi="Calibri" w:cs="Calibri"/>
          <w:strike/>
          <w:color w:val="000000"/>
        </w:rPr>
        <w:t xml:space="preserve"> of cause or consequence. </w:t>
      </w:r>
      <w:r w:rsidR="006307AA" w:rsidRPr="0026530D">
        <w:rPr>
          <w:rFonts w:ascii="Calibri" w:hAnsi="Calibri" w:cs="Calibri"/>
          <w:strike/>
          <w:color w:val="000000"/>
        </w:rPr>
        <w:t xml:space="preserve">Instead, an arbitrary and limited set of criteria </w:t>
      </w:r>
      <w:r w:rsidR="00FE1EDF" w:rsidRPr="0026530D">
        <w:rPr>
          <w:rFonts w:ascii="Calibri" w:hAnsi="Calibri" w:cs="Calibri"/>
          <w:strike/>
          <w:color w:val="000000"/>
        </w:rPr>
        <w:t xml:space="preserve">is mistranslated </w:t>
      </w:r>
      <w:r w:rsidR="006307AA" w:rsidRPr="0026530D">
        <w:rPr>
          <w:rFonts w:ascii="Calibri" w:hAnsi="Calibri" w:cs="Calibri"/>
          <w:strike/>
          <w:color w:val="000000"/>
        </w:rPr>
        <w:t xml:space="preserve">to </w:t>
      </w:r>
      <w:r w:rsidR="00FE1EDF" w:rsidRPr="0026530D">
        <w:rPr>
          <w:rFonts w:ascii="Calibri" w:hAnsi="Calibri" w:cs="Calibri"/>
          <w:strike/>
          <w:color w:val="000000"/>
        </w:rPr>
        <w:t>the</w:t>
      </w:r>
      <w:r w:rsidR="006307AA" w:rsidRPr="0026530D">
        <w:rPr>
          <w:rFonts w:ascii="Calibri" w:hAnsi="Calibri" w:cs="Calibri"/>
          <w:strike/>
          <w:color w:val="000000"/>
        </w:rPr>
        <w:t xml:space="preserve"> process </w:t>
      </w:r>
      <w:r w:rsidR="00FE1EDF" w:rsidRPr="0026530D">
        <w:rPr>
          <w:rFonts w:ascii="Calibri" w:hAnsi="Calibri" w:cs="Calibri"/>
          <w:strike/>
          <w:color w:val="000000"/>
        </w:rPr>
        <w:t>termed</w:t>
      </w:r>
      <w:r w:rsidR="00854712" w:rsidRPr="0026530D">
        <w:rPr>
          <w:rFonts w:ascii="Calibri" w:hAnsi="Calibri" w:cs="Calibri"/>
          <w:strike/>
          <w:color w:val="000000"/>
        </w:rPr>
        <w:t xml:space="preserve"> </w:t>
      </w:r>
      <w:r w:rsidR="006307AA" w:rsidRPr="0026530D">
        <w:rPr>
          <w:rFonts w:ascii="Calibri" w:hAnsi="Calibri" w:cs="Calibri"/>
          <w:strike/>
          <w:color w:val="000000"/>
        </w:rPr>
        <w:t>gentrification</w:t>
      </w:r>
      <w:r w:rsidR="00FE1EDF" w:rsidRPr="0026530D">
        <w:rPr>
          <w:rFonts w:ascii="Calibri" w:hAnsi="Calibri" w:cs="Calibri"/>
          <w:strike/>
          <w:color w:val="000000"/>
        </w:rPr>
        <w:t xml:space="preserve"> only in name</w:t>
      </w:r>
      <w:r w:rsidR="006307AA" w:rsidRPr="0026530D">
        <w:rPr>
          <w:rFonts w:ascii="Calibri" w:hAnsi="Calibri" w:cs="Calibri"/>
          <w:strike/>
          <w:color w:val="000000"/>
        </w:rPr>
        <w:t>. This paper</w:t>
      </w:r>
      <w:r w:rsidR="00854712" w:rsidRPr="0026530D">
        <w:rPr>
          <w:rFonts w:ascii="Calibri" w:hAnsi="Calibri" w:cs="Calibri"/>
          <w:strike/>
          <w:color w:val="000000"/>
        </w:rPr>
        <w:t xml:space="preserve"> </w:t>
      </w:r>
      <w:r w:rsidRPr="0026530D">
        <w:rPr>
          <w:rFonts w:ascii="Calibri" w:hAnsi="Calibri" w:cs="Calibri"/>
          <w:strike/>
          <w:color w:val="000000"/>
        </w:rPr>
        <w:t xml:space="preserve">identifies and </w:t>
      </w:r>
      <w:r w:rsidR="00854712" w:rsidRPr="0026530D">
        <w:rPr>
          <w:rFonts w:ascii="Calibri" w:hAnsi="Calibri" w:cs="Calibri"/>
          <w:strike/>
          <w:color w:val="000000"/>
        </w:rPr>
        <w:t xml:space="preserve">supplements the shortcomings of </w:t>
      </w:r>
      <w:r w:rsidR="00B12252" w:rsidRPr="0026530D">
        <w:rPr>
          <w:rFonts w:ascii="Calibri" w:hAnsi="Calibri" w:cs="Calibri"/>
          <w:strike/>
          <w:color w:val="000000"/>
        </w:rPr>
        <w:t>threshold</w:t>
      </w:r>
      <w:r w:rsidR="00854712" w:rsidRPr="0026530D">
        <w:rPr>
          <w:rFonts w:ascii="Calibri" w:hAnsi="Calibri" w:cs="Calibri"/>
          <w:strike/>
          <w:color w:val="000000"/>
        </w:rPr>
        <w:t xml:space="preserve"> methods</w:t>
      </w:r>
      <w:r w:rsidRPr="0026530D">
        <w:rPr>
          <w:rFonts w:ascii="Calibri" w:hAnsi="Calibri" w:cs="Calibri"/>
          <w:strike/>
          <w:color w:val="000000"/>
        </w:rPr>
        <w:t xml:space="preserve">, </w:t>
      </w:r>
      <w:r w:rsidR="006307AA" w:rsidRPr="0026530D">
        <w:rPr>
          <w:rFonts w:ascii="Calibri" w:hAnsi="Calibri" w:cs="Calibri"/>
          <w:strike/>
          <w:color w:val="000000"/>
        </w:rPr>
        <w:t>advanc</w:t>
      </w:r>
      <w:r w:rsidRPr="0026530D">
        <w:rPr>
          <w:rFonts w:ascii="Calibri" w:hAnsi="Calibri" w:cs="Calibri"/>
          <w:strike/>
          <w:color w:val="000000"/>
        </w:rPr>
        <w:t>ing</w:t>
      </w:r>
      <w:r w:rsidR="006307AA" w:rsidRPr="0026530D">
        <w:rPr>
          <w:rFonts w:ascii="Calibri" w:hAnsi="Calibri" w:cs="Calibri"/>
          <w:strike/>
          <w:color w:val="000000"/>
        </w:rPr>
        <w:t xml:space="preserve"> a more holistic quantitative method to identify gentrification within the broader context of neighborhood change.</w:t>
      </w:r>
    </w:p>
    <w:p w14:paraId="28273578" w14:textId="77777777" w:rsidR="00854712" w:rsidRDefault="00854712" w:rsidP="00B50687">
      <w:pPr>
        <w:autoSpaceDE w:val="0"/>
        <w:autoSpaceDN w:val="0"/>
        <w:adjustRightInd w:val="0"/>
        <w:spacing w:after="0" w:line="240" w:lineRule="auto"/>
        <w:ind w:firstLine="720"/>
        <w:rPr>
          <w:rFonts w:ascii="Calibri" w:hAnsi="Calibri" w:cs="Calibri"/>
          <w:color w:val="000000"/>
        </w:rPr>
      </w:pPr>
    </w:p>
    <w:p w14:paraId="6092320E" w14:textId="77777777" w:rsidR="00400B7C" w:rsidRPr="00400B7C" w:rsidRDefault="00400B7C" w:rsidP="004D2CB5">
      <w:pPr>
        <w:pStyle w:val="Heading3"/>
      </w:pPr>
      <w:r w:rsidRPr="00400B7C">
        <w:t xml:space="preserve">Clustering Strategies </w:t>
      </w:r>
    </w:p>
    <w:p w14:paraId="7E71774B" w14:textId="272953A3" w:rsidR="00D663D9" w:rsidRDefault="00895063" w:rsidP="00D663D9">
      <w:pPr>
        <w:autoSpaceDE w:val="0"/>
        <w:autoSpaceDN w:val="0"/>
        <w:adjustRightInd w:val="0"/>
        <w:spacing w:after="0" w:line="240" w:lineRule="auto"/>
        <w:ind w:firstLine="576"/>
        <w:rPr>
          <w:rFonts w:ascii="Calibri" w:hAnsi="Calibri" w:cs="Calibri"/>
          <w:color w:val="000000"/>
        </w:rPr>
      </w:pPr>
      <w:r>
        <w:t xml:space="preserve">The limitations of legacy methods to identify gentrification spawned a more recent class of models to identify the process. </w:t>
      </w:r>
      <w:r w:rsidR="00FE1EDF">
        <w:t>C</w:t>
      </w:r>
      <w:r w:rsidR="00400B7C" w:rsidRPr="00400B7C">
        <w:rPr>
          <w:rFonts w:ascii="Calibri" w:hAnsi="Calibri" w:cs="Calibri"/>
          <w:color w:val="000000"/>
        </w:rPr>
        <w:t>lustering is a</w:t>
      </w:r>
      <w:r w:rsidR="00FE1EDF">
        <w:rPr>
          <w:rFonts w:ascii="Calibri" w:hAnsi="Calibri" w:cs="Calibri"/>
          <w:color w:val="000000"/>
        </w:rPr>
        <w:t xml:space="preserve">n </w:t>
      </w:r>
      <w:r w:rsidR="00400B7C" w:rsidRPr="00400B7C">
        <w:rPr>
          <w:rFonts w:ascii="Calibri" w:hAnsi="Calibri" w:cs="Calibri"/>
          <w:color w:val="000000"/>
        </w:rPr>
        <w:t xml:space="preserve">unsupervised machine learning technique </w:t>
      </w:r>
      <w:r w:rsidR="008E0E2E">
        <w:rPr>
          <w:rFonts w:ascii="Calibri" w:hAnsi="Calibri" w:cs="Calibri"/>
          <w:color w:val="000000"/>
        </w:rPr>
        <w:t xml:space="preserve">that can be </w:t>
      </w:r>
      <w:r w:rsidR="00400B7C" w:rsidRPr="00400B7C">
        <w:rPr>
          <w:rFonts w:ascii="Calibri" w:hAnsi="Calibri" w:cs="Calibri"/>
          <w:color w:val="000000"/>
        </w:rPr>
        <w:t xml:space="preserve">used to </w:t>
      </w:r>
      <w:r w:rsidR="00E1352C">
        <w:rPr>
          <w:rFonts w:ascii="Calibri" w:hAnsi="Calibri" w:cs="Calibri"/>
          <w:color w:val="000000"/>
        </w:rPr>
        <w:t>group</w:t>
      </w:r>
      <w:r w:rsidR="00400B7C" w:rsidRPr="00400B7C">
        <w:rPr>
          <w:rFonts w:ascii="Calibri" w:hAnsi="Calibri" w:cs="Calibri"/>
          <w:color w:val="000000"/>
        </w:rPr>
        <w:t xml:space="preserve"> </w:t>
      </w:r>
      <w:r w:rsidR="00E1352C">
        <w:rPr>
          <w:rFonts w:ascii="Calibri" w:hAnsi="Calibri" w:cs="Calibri"/>
          <w:color w:val="000000"/>
        </w:rPr>
        <w:t xml:space="preserve">observations based on </w:t>
      </w:r>
      <w:r w:rsidR="00400B7C" w:rsidRPr="00400B7C">
        <w:rPr>
          <w:rFonts w:ascii="Calibri" w:hAnsi="Calibri" w:cs="Calibri"/>
          <w:color w:val="000000"/>
        </w:rPr>
        <w:t xml:space="preserve">patterns </w:t>
      </w:r>
      <w:r w:rsidR="00E1352C">
        <w:rPr>
          <w:rFonts w:ascii="Calibri" w:hAnsi="Calibri" w:cs="Calibri"/>
          <w:color w:val="000000"/>
        </w:rPr>
        <w:t>of</w:t>
      </w:r>
      <w:r w:rsidR="00400B7C" w:rsidRPr="00400B7C">
        <w:rPr>
          <w:rFonts w:ascii="Calibri" w:hAnsi="Calibri" w:cs="Calibri"/>
          <w:color w:val="000000"/>
        </w:rPr>
        <w:t xml:space="preserve"> multiple </w:t>
      </w:r>
      <w:r w:rsidR="00CE663D">
        <w:rPr>
          <w:rFonts w:ascii="Calibri" w:hAnsi="Calibri" w:cs="Calibri"/>
          <w:color w:val="000000"/>
        </w:rPr>
        <w:t>in</w:t>
      </w:r>
      <w:r w:rsidR="00E1352C">
        <w:rPr>
          <w:rFonts w:ascii="Calibri" w:hAnsi="Calibri" w:cs="Calibri"/>
          <w:color w:val="000000"/>
        </w:rPr>
        <w:t>put variables</w:t>
      </w:r>
      <w:r w:rsidR="00400B7C" w:rsidRPr="00400B7C">
        <w:rPr>
          <w:rFonts w:ascii="Calibri" w:hAnsi="Calibri" w:cs="Calibri"/>
          <w:color w:val="000000"/>
        </w:rPr>
        <w:t xml:space="preserve">. In the context of </w:t>
      </w:r>
      <w:r w:rsidR="00E1352C">
        <w:rPr>
          <w:rFonts w:ascii="Calibri" w:hAnsi="Calibri" w:cs="Calibri"/>
          <w:color w:val="000000"/>
        </w:rPr>
        <w:t>neighborhood</w:t>
      </w:r>
      <w:r w:rsidR="00400B7C" w:rsidRPr="00400B7C">
        <w:rPr>
          <w:rFonts w:ascii="Calibri" w:hAnsi="Calibri" w:cs="Calibri"/>
          <w:color w:val="000000"/>
        </w:rPr>
        <w:t xml:space="preserve"> change, it can be used to distinguish the dominant trajectories </w:t>
      </w:r>
      <w:r w:rsidR="00CE663D">
        <w:rPr>
          <w:rFonts w:ascii="Calibri" w:hAnsi="Calibri" w:cs="Calibri"/>
          <w:color w:val="000000"/>
        </w:rPr>
        <w:t>that</w:t>
      </w:r>
      <w:r w:rsidR="00400B7C" w:rsidRPr="00400B7C">
        <w:rPr>
          <w:rFonts w:ascii="Calibri" w:hAnsi="Calibri" w:cs="Calibri"/>
          <w:color w:val="000000"/>
        </w:rPr>
        <w:t xml:space="preserve"> neighborhood</w:t>
      </w:r>
      <w:r w:rsidR="00CE663D">
        <w:rPr>
          <w:rFonts w:ascii="Calibri" w:hAnsi="Calibri" w:cs="Calibri"/>
          <w:color w:val="000000"/>
        </w:rPr>
        <w:t>s</w:t>
      </w:r>
      <w:r w:rsidR="00400B7C" w:rsidRPr="00400B7C">
        <w:rPr>
          <w:rFonts w:ascii="Calibri" w:hAnsi="Calibri" w:cs="Calibri"/>
          <w:color w:val="000000"/>
        </w:rPr>
        <w:t xml:space="preserve"> change over time. This method </w:t>
      </w:r>
      <w:r w:rsidR="00303D5C">
        <w:rPr>
          <w:rFonts w:ascii="Calibri" w:hAnsi="Calibri" w:cs="Calibri"/>
          <w:color w:val="000000"/>
        </w:rPr>
        <w:t>reconciles</w:t>
      </w:r>
      <w:r w:rsidR="00400B7C" w:rsidRPr="00400B7C">
        <w:rPr>
          <w:rFonts w:ascii="Calibri" w:hAnsi="Calibri" w:cs="Calibri"/>
          <w:color w:val="000000"/>
        </w:rPr>
        <w:t xml:space="preserve"> Brown and </w:t>
      </w:r>
      <w:proofErr w:type="spellStart"/>
      <w:r w:rsidR="00400B7C" w:rsidRPr="00400B7C">
        <w:rPr>
          <w:rFonts w:ascii="Calibri" w:hAnsi="Calibri" w:cs="Calibri"/>
          <w:color w:val="000000"/>
        </w:rPr>
        <w:t>Saracino’s</w:t>
      </w:r>
      <w:proofErr w:type="spellEnd"/>
      <w:r w:rsidR="00400B7C" w:rsidRPr="00400B7C">
        <w:rPr>
          <w:rFonts w:ascii="Calibri" w:hAnsi="Calibri" w:cs="Calibri"/>
          <w:color w:val="000000"/>
        </w:rPr>
        <w:t xml:space="preserve"> (2017) call “</w:t>
      </w:r>
      <w:r w:rsidR="00400B7C" w:rsidRPr="00303D5C">
        <w:rPr>
          <w:rFonts w:ascii="Calibri" w:hAnsi="Calibri" w:cs="Calibri"/>
          <w:i/>
          <w:iCs/>
          <w:color w:val="000000"/>
        </w:rPr>
        <w:t>to study the city more holistically, capturing neighborhood change and stasis, poverty, affluence, and everything in between</w:t>
      </w:r>
      <w:r w:rsidR="00400B7C" w:rsidRPr="00400B7C">
        <w:rPr>
          <w:rFonts w:ascii="Calibri" w:hAnsi="Calibri" w:cs="Calibri"/>
          <w:color w:val="000000"/>
        </w:rPr>
        <w:t>”</w:t>
      </w:r>
      <w:r w:rsidR="00DC12E0">
        <w:rPr>
          <w:rFonts w:ascii="Calibri" w:hAnsi="Calibri" w:cs="Calibri"/>
          <w:color w:val="000000"/>
        </w:rPr>
        <w:t>, as well as</w:t>
      </w:r>
      <w:r w:rsidR="008E0E2E">
        <w:rPr>
          <w:rFonts w:ascii="Calibri" w:hAnsi="Calibri" w:cs="Calibri"/>
          <w:color w:val="000000"/>
        </w:rPr>
        <w:t xml:space="preserve"> Clark’s (2005) </w:t>
      </w:r>
      <w:r w:rsidR="00DC12E0">
        <w:rPr>
          <w:rFonts w:ascii="Calibri" w:hAnsi="Calibri" w:cs="Calibri"/>
          <w:color w:val="000000"/>
        </w:rPr>
        <w:t>petition</w:t>
      </w:r>
      <w:r w:rsidR="00D663D9">
        <w:rPr>
          <w:rFonts w:ascii="Calibri" w:hAnsi="Calibri" w:cs="Calibri"/>
          <w:color w:val="000000"/>
        </w:rPr>
        <w:t xml:space="preserve"> for an “</w:t>
      </w:r>
      <w:r w:rsidR="008E0E2E" w:rsidRPr="00D663D9">
        <w:rPr>
          <w:rFonts w:ascii="Calibri" w:hAnsi="Calibri" w:cs="Calibri"/>
          <w:i/>
          <w:iCs/>
          <w:color w:val="000000"/>
        </w:rPr>
        <w:t>elastic yet targeted definition of gentrification</w:t>
      </w:r>
      <w:r w:rsidR="00D663D9" w:rsidRPr="00D663D9">
        <w:rPr>
          <w:rFonts w:ascii="Calibri" w:hAnsi="Calibri" w:cs="Calibri"/>
          <w:i/>
          <w:iCs/>
          <w:color w:val="000000"/>
        </w:rPr>
        <w:t>.</w:t>
      </w:r>
      <w:r w:rsidR="00D663D9">
        <w:rPr>
          <w:rFonts w:ascii="Calibri" w:hAnsi="Calibri" w:cs="Calibri"/>
          <w:color w:val="000000"/>
        </w:rPr>
        <w:t xml:space="preserve">” </w:t>
      </w:r>
    </w:p>
    <w:p w14:paraId="5F78D648" w14:textId="77777777" w:rsidR="00D663D9" w:rsidRDefault="00D663D9" w:rsidP="00D663D9">
      <w:pPr>
        <w:autoSpaceDE w:val="0"/>
        <w:autoSpaceDN w:val="0"/>
        <w:adjustRightInd w:val="0"/>
        <w:spacing w:after="0" w:line="240" w:lineRule="auto"/>
        <w:ind w:firstLine="576"/>
        <w:rPr>
          <w:rFonts w:ascii="Calibri" w:hAnsi="Calibri" w:cs="Calibri"/>
          <w:color w:val="000000"/>
        </w:rPr>
      </w:pPr>
    </w:p>
    <w:p w14:paraId="4C09398E" w14:textId="6D8C79D7" w:rsidR="001A27D1" w:rsidRDefault="00D27C33" w:rsidP="00A36714">
      <w:pPr>
        <w:autoSpaceDE w:val="0"/>
        <w:autoSpaceDN w:val="0"/>
        <w:adjustRightInd w:val="0"/>
        <w:spacing w:after="0" w:line="240" w:lineRule="auto"/>
        <w:ind w:firstLine="576"/>
        <w:rPr>
          <w:rFonts w:ascii="Calibri" w:hAnsi="Calibri" w:cs="Calibri"/>
          <w:color w:val="000000"/>
        </w:rPr>
      </w:pPr>
      <w:r>
        <w:rPr>
          <w:rFonts w:ascii="Calibri" w:hAnsi="Calibri" w:cs="Calibri"/>
          <w:color w:val="000000"/>
        </w:rPr>
        <w:t>C</w:t>
      </w:r>
      <w:r w:rsidR="00400B7C" w:rsidRPr="00400B7C">
        <w:rPr>
          <w:rFonts w:ascii="Calibri" w:hAnsi="Calibri" w:cs="Calibri"/>
          <w:color w:val="000000"/>
        </w:rPr>
        <w:t xml:space="preserve">lustering techniques bypass </w:t>
      </w:r>
      <w:r w:rsidR="00DC12E0">
        <w:rPr>
          <w:rFonts w:ascii="Calibri" w:hAnsi="Calibri" w:cs="Calibri"/>
          <w:color w:val="000000"/>
        </w:rPr>
        <w:t xml:space="preserve">many of the </w:t>
      </w:r>
      <w:r w:rsidR="00400B7C" w:rsidRPr="00400B7C">
        <w:rPr>
          <w:rFonts w:ascii="Calibri" w:hAnsi="Calibri" w:cs="Calibri"/>
          <w:color w:val="000000"/>
        </w:rPr>
        <w:t>limitations and bias</w:t>
      </w:r>
      <w:r w:rsidR="00A84BC5">
        <w:rPr>
          <w:rFonts w:ascii="Calibri" w:hAnsi="Calibri" w:cs="Calibri"/>
          <w:color w:val="000000"/>
        </w:rPr>
        <w:t>es</w:t>
      </w:r>
      <w:r w:rsidR="00400B7C" w:rsidRPr="00400B7C">
        <w:rPr>
          <w:rFonts w:ascii="Calibri" w:hAnsi="Calibri" w:cs="Calibri"/>
          <w:color w:val="000000"/>
        </w:rPr>
        <w:t xml:space="preserve"> of</w:t>
      </w:r>
      <w:r w:rsidR="00F30B56">
        <w:rPr>
          <w:rFonts w:ascii="Calibri" w:hAnsi="Calibri" w:cs="Calibri"/>
          <w:color w:val="000000"/>
        </w:rPr>
        <w:t xml:space="preserve"> </w:t>
      </w:r>
      <w:r w:rsidR="00B12252">
        <w:rPr>
          <w:rFonts w:ascii="Calibri" w:hAnsi="Calibri" w:cs="Calibri"/>
          <w:color w:val="000000"/>
        </w:rPr>
        <w:t>threshold</w:t>
      </w:r>
      <w:r w:rsidR="00F30B56">
        <w:rPr>
          <w:rFonts w:ascii="Calibri" w:hAnsi="Calibri" w:cs="Calibri"/>
          <w:color w:val="000000"/>
        </w:rPr>
        <w:t xml:space="preserve"> methods</w:t>
      </w:r>
      <w:r w:rsidR="00DC12E0">
        <w:rPr>
          <w:rFonts w:ascii="Calibri" w:hAnsi="Calibri" w:cs="Calibri"/>
          <w:color w:val="000000"/>
        </w:rPr>
        <w:t>. This method categorize</w:t>
      </w:r>
      <w:r w:rsidR="00E1352C">
        <w:rPr>
          <w:rFonts w:ascii="Calibri" w:hAnsi="Calibri" w:cs="Calibri"/>
          <w:color w:val="000000"/>
        </w:rPr>
        <w:t>s</w:t>
      </w:r>
      <w:r w:rsidR="00DC12E0">
        <w:rPr>
          <w:rFonts w:ascii="Calibri" w:hAnsi="Calibri" w:cs="Calibri"/>
          <w:color w:val="000000"/>
        </w:rPr>
        <w:t xml:space="preserve"> observations</w:t>
      </w:r>
      <w:r w:rsidR="00895063">
        <w:rPr>
          <w:rFonts w:ascii="Calibri" w:hAnsi="Calibri" w:cs="Calibri"/>
          <w:color w:val="000000"/>
        </w:rPr>
        <w:t xml:space="preserve"> (census tracts)</w:t>
      </w:r>
      <w:r w:rsidR="00DC12E0">
        <w:rPr>
          <w:rFonts w:ascii="Calibri" w:hAnsi="Calibri" w:cs="Calibri"/>
          <w:color w:val="000000"/>
        </w:rPr>
        <w:t xml:space="preserve"> into clusters, or groupings</w:t>
      </w:r>
      <w:r w:rsidR="00400B7C" w:rsidRPr="00400B7C">
        <w:rPr>
          <w:rFonts w:ascii="Calibri" w:hAnsi="Calibri" w:cs="Calibri"/>
          <w:color w:val="000000"/>
        </w:rPr>
        <w:t xml:space="preserve"> </w:t>
      </w:r>
      <w:r w:rsidR="00D663D9">
        <w:rPr>
          <w:rFonts w:ascii="Calibri" w:hAnsi="Calibri" w:cs="Calibri"/>
          <w:color w:val="000000"/>
        </w:rPr>
        <w:t>that e</w:t>
      </w:r>
      <w:r w:rsidR="00DC12E0">
        <w:rPr>
          <w:rFonts w:ascii="Calibri" w:hAnsi="Calibri" w:cs="Calibri"/>
          <w:color w:val="000000"/>
        </w:rPr>
        <w:t>xhibit</w:t>
      </w:r>
      <w:r w:rsidR="00D663D9">
        <w:rPr>
          <w:rFonts w:ascii="Calibri" w:hAnsi="Calibri" w:cs="Calibri"/>
          <w:color w:val="000000"/>
        </w:rPr>
        <w:t xml:space="preserve"> </w:t>
      </w:r>
      <w:r w:rsidR="00DC12E0">
        <w:rPr>
          <w:rFonts w:ascii="Calibri" w:hAnsi="Calibri" w:cs="Calibri"/>
          <w:color w:val="000000"/>
        </w:rPr>
        <w:t>similar</w:t>
      </w:r>
      <w:r w:rsidR="00D663D9">
        <w:rPr>
          <w:rFonts w:ascii="Calibri" w:hAnsi="Calibri" w:cs="Calibri"/>
          <w:color w:val="000000"/>
        </w:rPr>
        <w:t xml:space="preserve"> </w:t>
      </w:r>
      <w:r w:rsidR="00DC12E0">
        <w:rPr>
          <w:rFonts w:ascii="Calibri" w:hAnsi="Calibri" w:cs="Calibri"/>
          <w:color w:val="000000"/>
        </w:rPr>
        <w:t xml:space="preserve">patterns and characteristics from measured </w:t>
      </w:r>
      <w:r w:rsidR="00400B7C" w:rsidRPr="00400B7C">
        <w:rPr>
          <w:rFonts w:ascii="Calibri" w:hAnsi="Calibri" w:cs="Calibri"/>
          <w:color w:val="000000"/>
        </w:rPr>
        <w:t>data, rather than a predetermined framework. The</w:t>
      </w:r>
      <w:r w:rsidR="00B3783C">
        <w:rPr>
          <w:rFonts w:ascii="Calibri" w:hAnsi="Calibri" w:cs="Calibri"/>
          <w:color w:val="000000"/>
        </w:rPr>
        <w:t xml:space="preserve"> method</w:t>
      </w:r>
      <w:r w:rsidR="00E1352C">
        <w:rPr>
          <w:rFonts w:ascii="Calibri" w:hAnsi="Calibri" w:cs="Calibri"/>
          <w:color w:val="000000"/>
        </w:rPr>
        <w:t xml:space="preserve"> capture</w:t>
      </w:r>
      <w:r w:rsidR="007316B8">
        <w:rPr>
          <w:rFonts w:ascii="Calibri" w:hAnsi="Calibri" w:cs="Calibri"/>
          <w:color w:val="000000"/>
        </w:rPr>
        <w:t>s</w:t>
      </w:r>
      <w:r w:rsidR="00E1352C">
        <w:rPr>
          <w:rFonts w:ascii="Calibri" w:hAnsi="Calibri" w:cs="Calibri"/>
          <w:color w:val="000000"/>
        </w:rPr>
        <w:t xml:space="preserve"> </w:t>
      </w:r>
      <w:r w:rsidR="00400B7C" w:rsidRPr="00400B7C">
        <w:rPr>
          <w:rFonts w:ascii="Calibri" w:hAnsi="Calibri" w:cs="Calibri"/>
          <w:color w:val="000000"/>
        </w:rPr>
        <w:t>the multi-dimensionality of neighborhood change</w:t>
      </w:r>
      <w:r w:rsidR="00E1352C">
        <w:rPr>
          <w:rFonts w:ascii="Calibri" w:hAnsi="Calibri" w:cs="Calibri"/>
          <w:color w:val="000000"/>
        </w:rPr>
        <w:t xml:space="preserve"> by incorporating </w:t>
      </w:r>
      <w:r w:rsidR="00FE1EDF">
        <w:rPr>
          <w:rFonts w:ascii="Calibri" w:hAnsi="Calibri" w:cs="Calibri"/>
          <w:color w:val="000000"/>
        </w:rPr>
        <w:t>multiple</w:t>
      </w:r>
      <w:r w:rsidR="00E1352C">
        <w:rPr>
          <w:rFonts w:ascii="Calibri" w:hAnsi="Calibri" w:cs="Calibri"/>
          <w:color w:val="000000"/>
        </w:rPr>
        <w:t xml:space="preserve"> input variables</w:t>
      </w:r>
      <w:r w:rsidR="00D514D2">
        <w:rPr>
          <w:rFonts w:ascii="Calibri" w:hAnsi="Calibri" w:cs="Calibri"/>
          <w:color w:val="000000"/>
        </w:rPr>
        <w:t xml:space="preserve">, </w:t>
      </w:r>
      <w:proofErr w:type="gramStart"/>
      <w:r w:rsidR="00D514D2">
        <w:rPr>
          <w:rFonts w:ascii="Calibri" w:hAnsi="Calibri" w:cs="Calibri"/>
          <w:color w:val="000000"/>
        </w:rPr>
        <w:t xml:space="preserve">while </w:t>
      </w:r>
      <w:r w:rsidR="00F30B56">
        <w:rPr>
          <w:rFonts w:ascii="Calibri" w:hAnsi="Calibri" w:cs="Calibri"/>
          <w:color w:val="000000"/>
        </w:rPr>
        <w:t xml:space="preserve"> avoid</w:t>
      </w:r>
      <w:r w:rsidR="00D514D2">
        <w:rPr>
          <w:rFonts w:ascii="Calibri" w:hAnsi="Calibri" w:cs="Calibri"/>
          <w:color w:val="000000"/>
        </w:rPr>
        <w:t>ing</w:t>
      </w:r>
      <w:proofErr w:type="gramEnd"/>
      <w:r w:rsidR="00F30B56">
        <w:rPr>
          <w:rFonts w:ascii="Calibri" w:hAnsi="Calibri" w:cs="Calibri"/>
          <w:color w:val="000000"/>
        </w:rPr>
        <w:t xml:space="preserve"> </w:t>
      </w:r>
      <w:r w:rsidR="00CE663D" w:rsidRPr="00CE663D">
        <w:rPr>
          <w:rFonts w:ascii="Calibri" w:hAnsi="Calibri" w:cs="Calibri"/>
          <w:i/>
          <w:iCs/>
          <w:color w:val="000000"/>
        </w:rPr>
        <w:t>a priori</w:t>
      </w:r>
      <w:r w:rsidR="00CE663D">
        <w:rPr>
          <w:rFonts w:ascii="Calibri" w:hAnsi="Calibri" w:cs="Calibri"/>
          <w:color w:val="000000"/>
        </w:rPr>
        <w:t xml:space="preserve"> confirmation</w:t>
      </w:r>
      <w:r w:rsidR="00B3783C">
        <w:rPr>
          <w:rFonts w:ascii="Calibri" w:hAnsi="Calibri" w:cs="Calibri"/>
          <w:color w:val="000000"/>
        </w:rPr>
        <w:t xml:space="preserve"> </w:t>
      </w:r>
      <w:r w:rsidR="00F30B56">
        <w:rPr>
          <w:rFonts w:ascii="Calibri" w:hAnsi="Calibri" w:cs="Calibri"/>
          <w:color w:val="000000"/>
        </w:rPr>
        <w:t>bias</w:t>
      </w:r>
      <w:r w:rsidR="00525903">
        <w:rPr>
          <w:rFonts w:ascii="Calibri" w:hAnsi="Calibri" w:cs="Calibri"/>
          <w:color w:val="000000"/>
        </w:rPr>
        <w:t>es</w:t>
      </w:r>
      <w:r w:rsidR="00DC12E0">
        <w:rPr>
          <w:rFonts w:ascii="Calibri" w:hAnsi="Calibri" w:cs="Calibri"/>
          <w:color w:val="000000"/>
        </w:rPr>
        <w:t xml:space="preserve"> by</w:t>
      </w:r>
      <w:r w:rsidR="00CE663D">
        <w:rPr>
          <w:rFonts w:ascii="Calibri" w:hAnsi="Calibri" w:cs="Calibri"/>
          <w:color w:val="000000"/>
        </w:rPr>
        <w:t xml:space="preserve"> making </w:t>
      </w:r>
      <w:r w:rsidR="00B3783C">
        <w:rPr>
          <w:rFonts w:ascii="Calibri" w:hAnsi="Calibri" w:cs="Calibri"/>
          <w:color w:val="000000"/>
        </w:rPr>
        <w:t>n</w:t>
      </w:r>
      <w:r w:rsidR="00D663D9">
        <w:rPr>
          <w:rFonts w:ascii="Calibri" w:hAnsi="Calibri" w:cs="Calibri"/>
          <w:color w:val="000000"/>
        </w:rPr>
        <w:t>o</w:t>
      </w:r>
      <w:r w:rsidR="00B3783C">
        <w:rPr>
          <w:rFonts w:ascii="Calibri" w:hAnsi="Calibri" w:cs="Calibri"/>
          <w:color w:val="000000"/>
        </w:rPr>
        <w:t xml:space="preserve"> guarantee that gentrification</w:t>
      </w:r>
      <w:r w:rsidR="00FE1EDF">
        <w:rPr>
          <w:rFonts w:ascii="Calibri" w:hAnsi="Calibri" w:cs="Calibri"/>
          <w:color w:val="000000"/>
        </w:rPr>
        <w:t xml:space="preserve">, </w:t>
      </w:r>
      <w:r w:rsidR="00E1352C">
        <w:rPr>
          <w:rFonts w:ascii="Calibri" w:hAnsi="Calibri" w:cs="Calibri"/>
          <w:color w:val="000000"/>
        </w:rPr>
        <w:t xml:space="preserve">nor any other </w:t>
      </w:r>
      <w:r w:rsidR="007B713A">
        <w:rPr>
          <w:rFonts w:ascii="Calibri" w:hAnsi="Calibri" w:cs="Calibri"/>
          <w:color w:val="000000"/>
        </w:rPr>
        <w:t xml:space="preserve">predetermined </w:t>
      </w:r>
      <w:r w:rsidR="00E1352C">
        <w:rPr>
          <w:rFonts w:ascii="Calibri" w:hAnsi="Calibri" w:cs="Calibri"/>
          <w:color w:val="000000"/>
        </w:rPr>
        <w:t>neighborhood change type</w:t>
      </w:r>
      <w:r w:rsidR="00FE1EDF">
        <w:rPr>
          <w:rFonts w:ascii="Calibri" w:hAnsi="Calibri" w:cs="Calibri"/>
          <w:color w:val="000000"/>
        </w:rPr>
        <w:t>,</w:t>
      </w:r>
      <w:r w:rsidR="00D663D9">
        <w:rPr>
          <w:rFonts w:ascii="Calibri" w:hAnsi="Calibri" w:cs="Calibri"/>
          <w:color w:val="000000"/>
        </w:rPr>
        <w:t xml:space="preserve"> will be identified</w:t>
      </w:r>
      <w:r w:rsidR="00DC12E0">
        <w:rPr>
          <w:rFonts w:ascii="Calibri" w:hAnsi="Calibri" w:cs="Calibri"/>
          <w:color w:val="000000"/>
        </w:rPr>
        <w:t xml:space="preserve">. </w:t>
      </w:r>
      <w:r w:rsidR="00D663D9">
        <w:rPr>
          <w:rFonts w:ascii="Calibri" w:hAnsi="Calibri" w:cs="Calibri"/>
          <w:color w:val="000000"/>
        </w:rPr>
        <w:t>Instead</w:t>
      </w:r>
      <w:r w:rsidR="00A84BC5">
        <w:rPr>
          <w:rFonts w:ascii="Calibri" w:hAnsi="Calibri" w:cs="Calibri"/>
          <w:color w:val="000000"/>
        </w:rPr>
        <w:t>,</w:t>
      </w:r>
      <w:r w:rsidR="00400B7C" w:rsidRPr="00400B7C">
        <w:rPr>
          <w:rFonts w:ascii="Calibri" w:hAnsi="Calibri" w:cs="Calibri"/>
          <w:color w:val="000000"/>
        </w:rPr>
        <w:t xml:space="preserve"> th</w:t>
      </w:r>
      <w:r w:rsidR="00303D5C">
        <w:rPr>
          <w:rFonts w:ascii="Calibri" w:hAnsi="Calibri" w:cs="Calibri"/>
          <w:color w:val="000000"/>
        </w:rPr>
        <w:t>is</w:t>
      </w:r>
      <w:r w:rsidR="00400B7C" w:rsidRPr="00400B7C">
        <w:rPr>
          <w:rFonts w:ascii="Calibri" w:hAnsi="Calibri" w:cs="Calibri"/>
          <w:color w:val="000000"/>
        </w:rPr>
        <w:t xml:space="preserve"> approach </w:t>
      </w:r>
      <w:r w:rsidR="00D663D9">
        <w:rPr>
          <w:rFonts w:ascii="Calibri" w:hAnsi="Calibri" w:cs="Calibri"/>
          <w:color w:val="000000"/>
        </w:rPr>
        <w:t xml:space="preserve">naively </w:t>
      </w:r>
      <w:r w:rsidR="00400B7C" w:rsidRPr="00400B7C">
        <w:rPr>
          <w:rFonts w:ascii="Calibri" w:hAnsi="Calibri" w:cs="Calibri"/>
          <w:color w:val="000000"/>
        </w:rPr>
        <w:t>reframes the question from “</w:t>
      </w:r>
      <w:r w:rsidR="00400B7C" w:rsidRPr="00DC12E0">
        <w:rPr>
          <w:rFonts w:ascii="Calibri" w:hAnsi="Calibri" w:cs="Calibri"/>
          <w:i/>
          <w:iCs/>
          <w:color w:val="000000"/>
        </w:rPr>
        <w:t>Where is gentrification happening?”</w:t>
      </w:r>
      <w:r w:rsidR="00400B7C" w:rsidRPr="00400B7C">
        <w:rPr>
          <w:rFonts w:ascii="Calibri" w:hAnsi="Calibri" w:cs="Calibri"/>
          <w:color w:val="000000"/>
        </w:rPr>
        <w:t xml:space="preserve"> to “</w:t>
      </w:r>
      <w:r w:rsidR="00400B7C" w:rsidRPr="00DC12E0">
        <w:rPr>
          <w:rFonts w:ascii="Calibri" w:hAnsi="Calibri" w:cs="Calibri"/>
          <w:i/>
          <w:iCs/>
          <w:color w:val="000000"/>
        </w:rPr>
        <w:t xml:space="preserve">What are the </w:t>
      </w:r>
      <w:r w:rsidR="00E55573" w:rsidRPr="00DC12E0">
        <w:rPr>
          <w:rFonts w:ascii="Calibri" w:hAnsi="Calibri" w:cs="Calibri"/>
          <w:i/>
          <w:iCs/>
          <w:color w:val="000000"/>
        </w:rPr>
        <w:t xml:space="preserve">dominant </w:t>
      </w:r>
      <w:r w:rsidR="00EA196A">
        <w:rPr>
          <w:rFonts w:ascii="Calibri" w:hAnsi="Calibri" w:cs="Calibri"/>
          <w:i/>
          <w:iCs/>
          <w:color w:val="000000"/>
        </w:rPr>
        <w:t>path</w:t>
      </w:r>
      <w:r w:rsidR="00E55573" w:rsidRPr="00DC12E0">
        <w:rPr>
          <w:rFonts w:ascii="Calibri" w:hAnsi="Calibri" w:cs="Calibri"/>
          <w:i/>
          <w:iCs/>
          <w:color w:val="000000"/>
        </w:rPr>
        <w:t>ways that</w:t>
      </w:r>
      <w:r w:rsidR="00A84BC5" w:rsidRPr="00DC12E0">
        <w:rPr>
          <w:rFonts w:ascii="Calibri" w:hAnsi="Calibri" w:cs="Calibri"/>
          <w:i/>
          <w:iCs/>
          <w:color w:val="000000"/>
        </w:rPr>
        <w:t xml:space="preserve"> </w:t>
      </w:r>
      <w:r w:rsidR="00400B7C" w:rsidRPr="00DC12E0">
        <w:rPr>
          <w:rFonts w:ascii="Calibri" w:hAnsi="Calibri" w:cs="Calibri"/>
          <w:i/>
          <w:iCs/>
          <w:color w:val="000000"/>
        </w:rPr>
        <w:t>neighborhood</w:t>
      </w:r>
      <w:r w:rsidR="00E55573" w:rsidRPr="00DC12E0">
        <w:rPr>
          <w:rFonts w:ascii="Calibri" w:hAnsi="Calibri" w:cs="Calibri"/>
          <w:i/>
          <w:iCs/>
          <w:color w:val="000000"/>
        </w:rPr>
        <w:t>s</w:t>
      </w:r>
      <w:r w:rsidR="00A84BC5" w:rsidRPr="00DC12E0">
        <w:rPr>
          <w:rFonts w:ascii="Calibri" w:hAnsi="Calibri" w:cs="Calibri"/>
          <w:i/>
          <w:iCs/>
          <w:color w:val="000000"/>
        </w:rPr>
        <w:t xml:space="preserve"> </w:t>
      </w:r>
      <w:r w:rsidR="00400B7C" w:rsidRPr="00DC12E0">
        <w:rPr>
          <w:rFonts w:ascii="Calibri" w:hAnsi="Calibri" w:cs="Calibri"/>
          <w:i/>
          <w:iCs/>
          <w:color w:val="000000"/>
        </w:rPr>
        <w:t>change</w:t>
      </w:r>
      <w:r w:rsidR="00A84BC5" w:rsidRPr="00DC12E0">
        <w:rPr>
          <w:rFonts w:ascii="Calibri" w:hAnsi="Calibri" w:cs="Calibri"/>
          <w:i/>
          <w:iCs/>
          <w:color w:val="000000"/>
        </w:rPr>
        <w:t xml:space="preserve"> </w:t>
      </w:r>
      <w:r w:rsidR="00400B7C" w:rsidRPr="00DC12E0">
        <w:rPr>
          <w:rFonts w:ascii="Calibri" w:hAnsi="Calibri" w:cs="Calibri"/>
          <w:i/>
          <w:iCs/>
          <w:color w:val="000000"/>
        </w:rPr>
        <w:t>over time?</w:t>
      </w:r>
      <w:r w:rsidR="00400B7C" w:rsidRPr="00400B7C">
        <w:rPr>
          <w:rFonts w:ascii="Calibri" w:hAnsi="Calibri" w:cs="Calibri"/>
          <w:color w:val="000000"/>
        </w:rPr>
        <w:t xml:space="preserve">” Whereas </w:t>
      </w:r>
      <w:r w:rsidR="00EA196A">
        <w:rPr>
          <w:rFonts w:ascii="Calibri" w:hAnsi="Calibri" w:cs="Calibri"/>
          <w:color w:val="000000"/>
        </w:rPr>
        <w:t>classical methods</w:t>
      </w:r>
      <w:r w:rsidR="00400B7C" w:rsidRPr="00400B7C">
        <w:rPr>
          <w:rFonts w:ascii="Calibri" w:hAnsi="Calibri" w:cs="Calibri"/>
          <w:color w:val="000000"/>
        </w:rPr>
        <w:t xml:space="preserve"> </w:t>
      </w:r>
      <w:r w:rsidR="00EA196A">
        <w:rPr>
          <w:rFonts w:ascii="Calibri" w:hAnsi="Calibri" w:cs="Calibri"/>
          <w:color w:val="000000"/>
        </w:rPr>
        <w:t>conform gentrification to an artificial set of pr</w:t>
      </w:r>
      <w:r w:rsidR="00D663D9">
        <w:rPr>
          <w:rFonts w:ascii="Calibri" w:hAnsi="Calibri" w:cs="Calibri"/>
          <w:color w:val="000000"/>
        </w:rPr>
        <w:t>e-</w:t>
      </w:r>
      <w:r w:rsidR="00400B7C" w:rsidRPr="00400B7C">
        <w:rPr>
          <w:rFonts w:ascii="Calibri" w:hAnsi="Calibri" w:cs="Calibri"/>
          <w:color w:val="000000"/>
        </w:rPr>
        <w:t xml:space="preserve">defined thresholds, </w:t>
      </w:r>
      <w:r w:rsidR="00EA196A">
        <w:rPr>
          <w:rFonts w:ascii="Calibri" w:hAnsi="Calibri" w:cs="Calibri"/>
          <w:color w:val="000000"/>
        </w:rPr>
        <w:t>the</w:t>
      </w:r>
      <w:r w:rsidR="00525903">
        <w:rPr>
          <w:rFonts w:ascii="Calibri" w:hAnsi="Calibri" w:cs="Calibri"/>
          <w:color w:val="000000"/>
        </w:rPr>
        <w:t>ir clustering</w:t>
      </w:r>
      <w:r w:rsidR="00400B7C" w:rsidRPr="00400B7C">
        <w:rPr>
          <w:rFonts w:ascii="Calibri" w:hAnsi="Calibri" w:cs="Calibri"/>
          <w:color w:val="000000"/>
        </w:rPr>
        <w:t xml:space="preserve"> </w:t>
      </w:r>
      <w:r w:rsidR="00DC12E0">
        <w:rPr>
          <w:rFonts w:ascii="Calibri" w:hAnsi="Calibri" w:cs="Calibri"/>
          <w:color w:val="000000"/>
        </w:rPr>
        <w:t>counterparts</w:t>
      </w:r>
      <w:r w:rsidR="00400B7C" w:rsidRPr="00400B7C">
        <w:rPr>
          <w:rFonts w:ascii="Calibri" w:hAnsi="Calibri" w:cs="Calibri"/>
          <w:color w:val="000000"/>
        </w:rPr>
        <w:t xml:space="preserve"> </w:t>
      </w:r>
      <w:r w:rsidR="00656B3F">
        <w:rPr>
          <w:rFonts w:ascii="Calibri" w:hAnsi="Calibri" w:cs="Calibri"/>
          <w:color w:val="000000"/>
        </w:rPr>
        <w:t>identify the</w:t>
      </w:r>
      <w:r w:rsidR="00400B7C" w:rsidRPr="00400B7C">
        <w:rPr>
          <w:rFonts w:ascii="Calibri" w:hAnsi="Calibri" w:cs="Calibri"/>
          <w:color w:val="000000"/>
        </w:rPr>
        <w:t xml:space="preserve"> </w:t>
      </w:r>
      <w:r w:rsidR="00DA7DFE">
        <w:rPr>
          <w:rFonts w:ascii="Calibri" w:hAnsi="Calibri" w:cs="Calibri"/>
          <w:color w:val="000000"/>
        </w:rPr>
        <w:t>dominant trajectories</w:t>
      </w:r>
      <w:r w:rsidR="00400B7C" w:rsidRPr="00400B7C">
        <w:rPr>
          <w:rFonts w:ascii="Calibri" w:hAnsi="Calibri" w:cs="Calibri"/>
          <w:color w:val="000000"/>
        </w:rPr>
        <w:t xml:space="preserve"> </w:t>
      </w:r>
      <w:r w:rsidR="00D663D9">
        <w:rPr>
          <w:rFonts w:ascii="Calibri" w:hAnsi="Calibri" w:cs="Calibri"/>
          <w:color w:val="000000"/>
        </w:rPr>
        <w:t>that</w:t>
      </w:r>
      <w:r w:rsidR="00400B7C" w:rsidRPr="00400B7C">
        <w:rPr>
          <w:rFonts w:ascii="Calibri" w:hAnsi="Calibri" w:cs="Calibri"/>
          <w:color w:val="000000"/>
        </w:rPr>
        <w:t xml:space="preserve"> neighborhoods</w:t>
      </w:r>
      <w:r w:rsidR="00D663D9">
        <w:rPr>
          <w:rFonts w:ascii="Calibri" w:hAnsi="Calibri" w:cs="Calibri"/>
          <w:color w:val="000000"/>
        </w:rPr>
        <w:t xml:space="preserve"> </w:t>
      </w:r>
      <w:r w:rsidR="00D663D9" w:rsidRPr="00E55573">
        <w:rPr>
          <w:rFonts w:ascii="Calibri" w:hAnsi="Calibri" w:cs="Calibri"/>
          <w:i/>
          <w:iCs/>
          <w:color w:val="000000"/>
        </w:rPr>
        <w:t>can</w:t>
      </w:r>
      <w:r w:rsidR="00400B7C" w:rsidRPr="00400B7C">
        <w:rPr>
          <w:rFonts w:ascii="Calibri" w:hAnsi="Calibri" w:cs="Calibri"/>
          <w:color w:val="000000"/>
        </w:rPr>
        <w:t xml:space="preserve"> change</w:t>
      </w:r>
      <w:r w:rsidR="00DA7DFE">
        <w:rPr>
          <w:rFonts w:ascii="Calibri" w:hAnsi="Calibri" w:cs="Calibri"/>
          <w:color w:val="000000"/>
        </w:rPr>
        <w:t>.</w:t>
      </w:r>
      <w:r w:rsidR="00A84BC5">
        <w:rPr>
          <w:rFonts w:ascii="Calibri" w:hAnsi="Calibri" w:cs="Calibri"/>
          <w:color w:val="000000"/>
        </w:rPr>
        <w:t xml:space="preserve"> </w:t>
      </w:r>
    </w:p>
    <w:p w14:paraId="33207C25" w14:textId="77777777" w:rsidR="00A36714" w:rsidRDefault="00A36714" w:rsidP="00A36714">
      <w:pPr>
        <w:autoSpaceDE w:val="0"/>
        <w:autoSpaceDN w:val="0"/>
        <w:adjustRightInd w:val="0"/>
        <w:spacing w:after="0" w:line="240" w:lineRule="auto"/>
        <w:ind w:firstLine="576"/>
        <w:rPr>
          <w:rFonts w:ascii="Calibri" w:hAnsi="Calibri" w:cs="Calibri"/>
          <w:color w:val="000000"/>
        </w:rPr>
      </w:pPr>
    </w:p>
    <w:p w14:paraId="7874173C" w14:textId="417AD626" w:rsidR="0094107C" w:rsidRDefault="001A27D1" w:rsidP="00A36714">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xml:space="preserve">Boddy (2007) </w:t>
      </w:r>
      <w:r w:rsidR="00EA196A">
        <w:rPr>
          <w:rFonts w:ascii="Calibri" w:hAnsi="Calibri" w:cs="Calibri"/>
          <w:color w:val="000000"/>
        </w:rPr>
        <w:t>correctly identifies</w:t>
      </w:r>
      <w:r w:rsidR="001E5AB4">
        <w:rPr>
          <w:rFonts w:ascii="Calibri" w:hAnsi="Calibri" w:cs="Calibri"/>
          <w:color w:val="000000"/>
        </w:rPr>
        <w:t xml:space="preserve"> that</w:t>
      </w:r>
      <w:r w:rsidR="00581DD3">
        <w:rPr>
          <w:rFonts w:ascii="Calibri" w:hAnsi="Calibri" w:cs="Calibri"/>
          <w:color w:val="000000"/>
        </w:rPr>
        <w:t xml:space="preserve"> </w:t>
      </w:r>
      <w:r w:rsidRPr="001A27D1">
        <w:rPr>
          <w:rFonts w:ascii="Calibri" w:hAnsi="Calibri" w:cs="Calibri"/>
          <w:color w:val="000000"/>
        </w:rPr>
        <w:t>“</w:t>
      </w:r>
      <w:r w:rsidR="001E5AB4">
        <w:rPr>
          <w:rFonts w:ascii="Calibri" w:hAnsi="Calibri" w:cs="Calibri"/>
          <w:i/>
          <w:iCs/>
          <w:color w:val="000000"/>
        </w:rPr>
        <w:t>a</w:t>
      </w:r>
      <w:r w:rsidRPr="00581DD3">
        <w:rPr>
          <w:rFonts w:ascii="Calibri" w:hAnsi="Calibri" w:cs="Calibri"/>
          <w:i/>
          <w:iCs/>
          <w:color w:val="000000"/>
        </w:rPr>
        <w:t>n unsupervised classification algorithm cannot tell which combination of variables is necessary and/or sufficient to defin</w:t>
      </w:r>
      <w:r w:rsidR="00581DD3" w:rsidRPr="00581DD3">
        <w:rPr>
          <w:rFonts w:ascii="Calibri" w:hAnsi="Calibri" w:cs="Calibri"/>
          <w:i/>
          <w:iCs/>
          <w:color w:val="000000"/>
        </w:rPr>
        <w:t>e gentrification</w:t>
      </w:r>
      <w:r w:rsidR="00581DD3">
        <w:rPr>
          <w:rFonts w:ascii="Calibri" w:hAnsi="Calibri" w:cs="Calibri"/>
          <w:color w:val="000000"/>
        </w:rPr>
        <w:t xml:space="preserve">.” </w:t>
      </w:r>
      <w:r w:rsidR="00E76373">
        <w:rPr>
          <w:rFonts w:ascii="Calibri" w:hAnsi="Calibri" w:cs="Calibri"/>
          <w:color w:val="000000"/>
        </w:rPr>
        <w:t xml:space="preserve">Rather, this approach </w:t>
      </w:r>
      <w:r w:rsidR="001E5DCC">
        <w:rPr>
          <w:rFonts w:ascii="Calibri" w:hAnsi="Calibri" w:cs="Calibri"/>
          <w:color w:val="000000"/>
        </w:rPr>
        <w:t>necessitates</w:t>
      </w:r>
      <w:r w:rsidR="00581DD3">
        <w:rPr>
          <w:rFonts w:ascii="Calibri" w:hAnsi="Calibri" w:cs="Calibri"/>
          <w:color w:val="000000"/>
        </w:rPr>
        <w:t xml:space="preserve"> a </w:t>
      </w:r>
      <w:r w:rsidR="009E160C">
        <w:rPr>
          <w:rFonts w:ascii="Calibri" w:hAnsi="Calibri" w:cs="Calibri"/>
          <w:color w:val="000000"/>
        </w:rPr>
        <w:t>thorough</w:t>
      </w:r>
      <w:r w:rsidR="00581DD3">
        <w:rPr>
          <w:rFonts w:ascii="Calibri" w:hAnsi="Calibri" w:cs="Calibri"/>
          <w:color w:val="000000"/>
        </w:rPr>
        <w:t xml:space="preserve"> </w:t>
      </w:r>
      <w:r w:rsidR="00C2689C" w:rsidRPr="0034657F">
        <w:rPr>
          <w:rFonts w:ascii="Calibri" w:hAnsi="Calibri" w:cs="Calibri"/>
          <w:i/>
          <w:iCs/>
          <w:color w:val="000000"/>
        </w:rPr>
        <w:t>post hoc</w:t>
      </w:r>
      <w:r w:rsidR="00C2689C">
        <w:rPr>
          <w:rFonts w:ascii="Calibri" w:hAnsi="Calibri" w:cs="Calibri"/>
          <w:color w:val="000000"/>
        </w:rPr>
        <w:t xml:space="preserve"> </w:t>
      </w:r>
      <w:r w:rsidR="00EA196A">
        <w:rPr>
          <w:rFonts w:ascii="Calibri" w:hAnsi="Calibri" w:cs="Calibri"/>
          <w:color w:val="000000"/>
        </w:rPr>
        <w:t>examination</w:t>
      </w:r>
      <w:r w:rsidR="00E76373">
        <w:rPr>
          <w:rFonts w:ascii="Calibri" w:hAnsi="Calibri" w:cs="Calibri"/>
          <w:color w:val="000000"/>
        </w:rPr>
        <w:t xml:space="preserve"> of cluster outcomes. </w:t>
      </w:r>
      <w:r w:rsidR="009E160C">
        <w:rPr>
          <w:rFonts w:ascii="Calibri" w:hAnsi="Calibri" w:cs="Calibri"/>
          <w:color w:val="000000"/>
        </w:rPr>
        <w:t xml:space="preserve">Subjectivity, biases, and heuristics must be acknowledged and </w:t>
      </w:r>
      <w:r w:rsidR="00C2689C">
        <w:rPr>
          <w:rFonts w:ascii="Calibri" w:hAnsi="Calibri" w:cs="Calibri"/>
          <w:color w:val="000000"/>
        </w:rPr>
        <w:t xml:space="preserve">mitigated </w:t>
      </w:r>
      <w:r w:rsidR="009E160C">
        <w:rPr>
          <w:rFonts w:ascii="Calibri" w:hAnsi="Calibri" w:cs="Calibri"/>
          <w:color w:val="000000"/>
        </w:rPr>
        <w:t xml:space="preserve">at this step </w:t>
      </w:r>
      <w:r w:rsidR="00A47837">
        <w:rPr>
          <w:rFonts w:ascii="Calibri" w:hAnsi="Calibri" w:cs="Calibri"/>
          <w:color w:val="000000"/>
        </w:rPr>
        <w:t xml:space="preserve">by building </w:t>
      </w:r>
      <w:r w:rsidR="00E1352C">
        <w:rPr>
          <w:rFonts w:ascii="Calibri" w:hAnsi="Calibri" w:cs="Calibri"/>
          <w:color w:val="000000"/>
        </w:rPr>
        <w:t>data-driven</w:t>
      </w:r>
      <w:r w:rsidR="00A47837">
        <w:rPr>
          <w:rFonts w:ascii="Calibri" w:hAnsi="Calibri" w:cs="Calibri"/>
          <w:color w:val="000000"/>
        </w:rPr>
        <w:t xml:space="preserve"> interpretations</w:t>
      </w:r>
      <w:r w:rsidR="00E1352C">
        <w:rPr>
          <w:rFonts w:ascii="Calibri" w:hAnsi="Calibri" w:cs="Calibri"/>
          <w:color w:val="000000"/>
        </w:rPr>
        <w:t xml:space="preserve"> </w:t>
      </w:r>
      <w:r w:rsidR="00A47837">
        <w:rPr>
          <w:rFonts w:ascii="Calibri" w:hAnsi="Calibri" w:cs="Calibri"/>
          <w:color w:val="000000"/>
        </w:rPr>
        <w:t>based on relative and absolute statistics as well as spatial organizations</w:t>
      </w:r>
      <w:r w:rsidR="00C2689C">
        <w:rPr>
          <w:rFonts w:ascii="Calibri" w:hAnsi="Calibri" w:cs="Calibri"/>
          <w:color w:val="000000"/>
        </w:rPr>
        <w:t>.</w:t>
      </w:r>
      <w:r w:rsidR="00E76373">
        <w:rPr>
          <w:rFonts w:ascii="Calibri" w:hAnsi="Calibri" w:cs="Calibri"/>
          <w:color w:val="000000"/>
        </w:rPr>
        <w:t xml:space="preserve">  </w:t>
      </w:r>
      <w:r w:rsidR="00525903">
        <w:rPr>
          <w:rFonts w:ascii="Calibri" w:hAnsi="Calibri" w:cs="Calibri"/>
          <w:color w:val="000000"/>
        </w:rPr>
        <w:t>This shifts</w:t>
      </w:r>
      <w:r w:rsidR="00023103">
        <w:rPr>
          <w:rFonts w:ascii="Calibri" w:hAnsi="Calibri" w:cs="Calibri"/>
          <w:color w:val="000000"/>
        </w:rPr>
        <w:t xml:space="preserve"> the </w:t>
      </w:r>
      <w:r w:rsidR="0026530D">
        <w:rPr>
          <w:rFonts w:ascii="Calibri" w:hAnsi="Calibri" w:cs="Calibri"/>
          <w:color w:val="000000"/>
        </w:rPr>
        <w:t xml:space="preserve">researchers </w:t>
      </w:r>
      <w:r w:rsidR="00A47837">
        <w:rPr>
          <w:rFonts w:ascii="Calibri" w:hAnsi="Calibri" w:cs="Calibri"/>
          <w:color w:val="000000"/>
        </w:rPr>
        <w:t>burden</w:t>
      </w:r>
      <w:r w:rsidR="0026530D">
        <w:rPr>
          <w:rFonts w:ascii="Calibri" w:hAnsi="Calibri" w:cs="Calibri"/>
          <w:color w:val="000000"/>
        </w:rPr>
        <w:t xml:space="preserve"> of subjectivity </w:t>
      </w:r>
      <w:r w:rsidR="00A47837">
        <w:rPr>
          <w:rFonts w:ascii="Calibri" w:hAnsi="Calibri" w:cs="Calibri"/>
          <w:color w:val="000000"/>
        </w:rPr>
        <w:t xml:space="preserve">from pre-analysis to post-analysis and from injunction to interpretation based on reportable </w:t>
      </w:r>
      <w:r w:rsidR="0026530D">
        <w:rPr>
          <w:rFonts w:ascii="Calibri" w:hAnsi="Calibri" w:cs="Calibri"/>
          <w:color w:val="000000"/>
        </w:rPr>
        <w:t>results</w:t>
      </w:r>
      <w:r w:rsidR="00A47837">
        <w:rPr>
          <w:rFonts w:ascii="Calibri" w:hAnsi="Calibri" w:cs="Calibri"/>
          <w:color w:val="000000"/>
        </w:rPr>
        <w:t xml:space="preserve">. </w:t>
      </w:r>
      <w:r w:rsidR="00400B7C" w:rsidRPr="00400B7C">
        <w:rPr>
          <w:rFonts w:ascii="Calibri" w:hAnsi="Calibri" w:cs="Calibri"/>
          <w:color w:val="000000"/>
        </w:rPr>
        <w:t xml:space="preserve">The </w:t>
      </w:r>
      <w:r w:rsidR="00656B3F">
        <w:rPr>
          <w:rFonts w:ascii="Calibri" w:hAnsi="Calibri" w:cs="Calibri"/>
          <w:color w:val="000000"/>
        </w:rPr>
        <w:t>output</w:t>
      </w:r>
      <w:r w:rsidR="00400B7C" w:rsidRPr="00400B7C">
        <w:rPr>
          <w:rFonts w:ascii="Calibri" w:hAnsi="Calibri" w:cs="Calibri"/>
          <w:color w:val="000000"/>
        </w:rPr>
        <w:t xml:space="preserve"> is a robust classification</w:t>
      </w:r>
      <w:r w:rsidR="001E12A5">
        <w:rPr>
          <w:rFonts w:ascii="Calibri" w:hAnsi="Calibri" w:cs="Calibri"/>
          <w:color w:val="000000"/>
        </w:rPr>
        <w:t xml:space="preserve"> framework</w:t>
      </w:r>
      <w:r w:rsidR="00400B7C" w:rsidRPr="00400B7C">
        <w:rPr>
          <w:rFonts w:ascii="Calibri" w:hAnsi="Calibri" w:cs="Calibri"/>
          <w:color w:val="000000"/>
        </w:rPr>
        <w:t xml:space="preserve"> that may be used </w:t>
      </w:r>
      <w:r w:rsidR="001E12A5">
        <w:rPr>
          <w:rFonts w:ascii="Calibri" w:hAnsi="Calibri" w:cs="Calibri"/>
          <w:color w:val="000000"/>
        </w:rPr>
        <w:t xml:space="preserve">for </w:t>
      </w:r>
      <w:r w:rsidR="006456A9">
        <w:rPr>
          <w:rFonts w:ascii="Calibri" w:hAnsi="Calibri" w:cs="Calibri"/>
          <w:color w:val="000000"/>
        </w:rPr>
        <w:t xml:space="preserve">more precise </w:t>
      </w:r>
      <w:r w:rsidR="001E12A5">
        <w:rPr>
          <w:rFonts w:ascii="Calibri" w:hAnsi="Calibri" w:cs="Calibri"/>
          <w:color w:val="000000"/>
        </w:rPr>
        <w:t xml:space="preserve">cross-city comparisons </w:t>
      </w:r>
      <w:r w:rsidR="006456A9">
        <w:rPr>
          <w:rFonts w:ascii="Calibri" w:hAnsi="Calibri" w:cs="Calibri"/>
          <w:color w:val="000000"/>
        </w:rPr>
        <w:t>or as a</w:t>
      </w:r>
      <w:r w:rsidR="001E12A5">
        <w:rPr>
          <w:rFonts w:ascii="Calibri" w:hAnsi="Calibri" w:cs="Calibri"/>
          <w:color w:val="000000"/>
        </w:rPr>
        <w:t xml:space="preserve"> variable </w:t>
      </w:r>
      <w:r w:rsidR="006456A9">
        <w:rPr>
          <w:rFonts w:ascii="Calibri" w:hAnsi="Calibri" w:cs="Calibri"/>
          <w:color w:val="000000"/>
        </w:rPr>
        <w:t>for effect-size</w:t>
      </w:r>
      <w:r w:rsidR="00BF5C6C">
        <w:rPr>
          <w:rFonts w:ascii="Calibri" w:hAnsi="Calibri" w:cs="Calibri"/>
          <w:color w:val="000000"/>
        </w:rPr>
        <w:t>, cost/benefit,</w:t>
      </w:r>
      <w:r w:rsidR="006456A9">
        <w:rPr>
          <w:rFonts w:ascii="Calibri" w:hAnsi="Calibri" w:cs="Calibri"/>
          <w:color w:val="000000"/>
        </w:rPr>
        <w:t xml:space="preserve"> </w:t>
      </w:r>
      <w:r w:rsidR="00BF5C6C">
        <w:rPr>
          <w:rFonts w:ascii="Calibri" w:hAnsi="Calibri" w:cs="Calibri"/>
          <w:color w:val="000000"/>
        </w:rPr>
        <w:t>or other</w:t>
      </w:r>
      <w:r w:rsidR="00023103">
        <w:rPr>
          <w:rFonts w:ascii="Calibri" w:hAnsi="Calibri" w:cs="Calibri"/>
          <w:color w:val="000000"/>
        </w:rPr>
        <w:t xml:space="preserve"> derivative </w:t>
      </w:r>
      <w:r w:rsidR="00BF5C6C">
        <w:rPr>
          <w:rFonts w:ascii="Calibri" w:hAnsi="Calibri" w:cs="Calibri"/>
          <w:color w:val="000000"/>
        </w:rPr>
        <w:t xml:space="preserve">gentrification </w:t>
      </w:r>
      <w:r w:rsidR="006456A9">
        <w:rPr>
          <w:rFonts w:ascii="Calibri" w:hAnsi="Calibri" w:cs="Calibri"/>
          <w:color w:val="000000"/>
        </w:rPr>
        <w:t>research</w:t>
      </w:r>
      <w:r w:rsidR="00400B7C" w:rsidRPr="00400B7C">
        <w:rPr>
          <w:rFonts w:ascii="Calibri" w:hAnsi="Calibri" w:cs="Calibri"/>
          <w:color w:val="000000"/>
        </w:rPr>
        <w:t>.</w:t>
      </w:r>
      <w:r w:rsidR="001E12A5">
        <w:rPr>
          <w:rFonts w:ascii="Calibri" w:hAnsi="Calibri" w:cs="Calibri"/>
          <w:color w:val="000000"/>
        </w:rPr>
        <w:t xml:space="preserve"> </w:t>
      </w:r>
    </w:p>
    <w:p w14:paraId="1BA469B0" w14:textId="77777777" w:rsidR="00A36714" w:rsidRDefault="00A36714" w:rsidP="00A36714">
      <w:pPr>
        <w:autoSpaceDE w:val="0"/>
        <w:autoSpaceDN w:val="0"/>
        <w:adjustRightInd w:val="0"/>
        <w:spacing w:after="0" w:line="240" w:lineRule="auto"/>
        <w:ind w:firstLine="720"/>
        <w:rPr>
          <w:rFonts w:ascii="Calibri" w:hAnsi="Calibri" w:cs="Calibri"/>
          <w:color w:val="000000"/>
        </w:rPr>
      </w:pPr>
    </w:p>
    <w:p w14:paraId="42AFFD3C" w14:textId="2482DD77" w:rsidR="00745B20" w:rsidRDefault="00400B7C" w:rsidP="00D33A5F">
      <w:pPr>
        <w:autoSpaceDE w:val="0"/>
        <w:autoSpaceDN w:val="0"/>
        <w:adjustRightInd w:val="0"/>
        <w:spacing w:after="0" w:line="240" w:lineRule="auto"/>
        <w:ind w:firstLine="720"/>
        <w:rPr>
          <w:rFonts w:ascii="Calibri" w:hAnsi="Calibri" w:cs="Calibri"/>
          <w:color w:val="000000"/>
        </w:rPr>
      </w:pPr>
      <w:r w:rsidRPr="00400B7C">
        <w:rPr>
          <w:rFonts w:ascii="Calibri" w:hAnsi="Calibri" w:cs="Calibri"/>
          <w:color w:val="000000"/>
        </w:rPr>
        <w:t xml:space="preserve"> </w:t>
      </w:r>
      <w:r w:rsidR="00023103">
        <w:rPr>
          <w:rFonts w:ascii="Calibri" w:hAnsi="Calibri" w:cs="Calibri"/>
          <w:color w:val="000000"/>
        </w:rPr>
        <w:t>Different v</w:t>
      </w:r>
      <w:r w:rsidR="00AE0841">
        <w:rPr>
          <w:rFonts w:ascii="Calibri" w:hAnsi="Calibri" w:cs="Calibri"/>
          <w:color w:val="000000"/>
        </w:rPr>
        <w:t xml:space="preserve">ersions of clustering frameworks </w:t>
      </w:r>
      <w:r w:rsidR="00F30B56">
        <w:rPr>
          <w:rFonts w:ascii="Calibri" w:hAnsi="Calibri" w:cs="Calibri"/>
          <w:color w:val="000000"/>
        </w:rPr>
        <w:t>h</w:t>
      </w:r>
      <w:r w:rsidR="00AE0841">
        <w:rPr>
          <w:rFonts w:ascii="Calibri" w:hAnsi="Calibri" w:cs="Calibri"/>
          <w:color w:val="000000"/>
        </w:rPr>
        <w:t>ave</w:t>
      </w:r>
      <w:r w:rsidR="00303D5C">
        <w:rPr>
          <w:rFonts w:ascii="Calibri" w:hAnsi="Calibri" w:cs="Calibri"/>
          <w:color w:val="000000"/>
        </w:rPr>
        <w:t xml:space="preserve"> </w:t>
      </w:r>
      <w:r w:rsidRPr="00400B7C">
        <w:rPr>
          <w:rFonts w:ascii="Calibri" w:hAnsi="Calibri" w:cs="Calibri"/>
          <w:color w:val="000000"/>
        </w:rPr>
        <w:t>been applied</w:t>
      </w:r>
      <w:r w:rsidR="00656B3F">
        <w:rPr>
          <w:rFonts w:ascii="Calibri" w:hAnsi="Calibri" w:cs="Calibri"/>
          <w:color w:val="000000"/>
        </w:rPr>
        <w:t xml:space="preserve"> </w:t>
      </w:r>
      <w:r w:rsidR="00F30B56">
        <w:rPr>
          <w:rFonts w:ascii="Calibri" w:hAnsi="Calibri" w:cs="Calibri"/>
          <w:color w:val="000000"/>
        </w:rPr>
        <w:t>within</w:t>
      </w:r>
      <w:r w:rsidRPr="00400B7C">
        <w:rPr>
          <w:rFonts w:ascii="Calibri" w:hAnsi="Calibri" w:cs="Calibri"/>
          <w:color w:val="000000"/>
        </w:rPr>
        <w:t xml:space="preserve"> the context of </w:t>
      </w:r>
      <w:r w:rsidR="00E1352C">
        <w:rPr>
          <w:rFonts w:ascii="Calibri" w:hAnsi="Calibri" w:cs="Calibri"/>
          <w:color w:val="000000"/>
        </w:rPr>
        <w:t>neighborhood</w:t>
      </w:r>
      <w:r w:rsidRPr="00400B7C">
        <w:rPr>
          <w:rFonts w:ascii="Calibri" w:hAnsi="Calibri" w:cs="Calibri"/>
          <w:color w:val="000000"/>
        </w:rPr>
        <w:t xml:space="preserve"> change. </w:t>
      </w:r>
      <w:proofErr w:type="spellStart"/>
      <w:r w:rsidRPr="00400B7C">
        <w:rPr>
          <w:rFonts w:ascii="Calibri" w:hAnsi="Calibri" w:cs="Calibri"/>
          <w:color w:val="000000"/>
        </w:rPr>
        <w:t>Podagrosi</w:t>
      </w:r>
      <w:proofErr w:type="spellEnd"/>
      <w:r w:rsidRPr="00400B7C">
        <w:rPr>
          <w:rFonts w:ascii="Calibri" w:hAnsi="Calibri" w:cs="Calibri"/>
          <w:color w:val="000000"/>
        </w:rPr>
        <w:t xml:space="preserve"> et al. (2011) used k-means clustering to distinguish </w:t>
      </w:r>
      <w:r w:rsidR="00023103">
        <w:rPr>
          <w:rFonts w:ascii="Calibri" w:hAnsi="Calibri" w:cs="Calibri"/>
          <w:color w:val="000000"/>
        </w:rPr>
        <w:t xml:space="preserve">typologies of </w:t>
      </w:r>
      <w:r w:rsidRPr="00400B7C">
        <w:rPr>
          <w:rFonts w:ascii="Calibri" w:hAnsi="Calibri" w:cs="Calibri"/>
          <w:color w:val="000000"/>
        </w:rPr>
        <w:t xml:space="preserve">neighborhood change </w:t>
      </w:r>
      <w:r w:rsidR="00023103">
        <w:rPr>
          <w:rFonts w:ascii="Calibri" w:hAnsi="Calibri" w:cs="Calibri"/>
          <w:color w:val="000000"/>
        </w:rPr>
        <w:t xml:space="preserve">in </w:t>
      </w:r>
      <w:r w:rsidR="00023103" w:rsidRPr="00400B7C">
        <w:rPr>
          <w:rFonts w:ascii="Calibri" w:hAnsi="Calibri" w:cs="Calibri"/>
          <w:color w:val="000000"/>
        </w:rPr>
        <w:t xml:space="preserve">Houston </w:t>
      </w:r>
      <w:r w:rsidRPr="00400B7C">
        <w:rPr>
          <w:rFonts w:ascii="Calibri" w:hAnsi="Calibri" w:cs="Calibri"/>
          <w:color w:val="000000"/>
        </w:rPr>
        <w:t>between 1980 and 2000</w:t>
      </w:r>
      <w:r w:rsidR="00023103">
        <w:rPr>
          <w:rFonts w:ascii="Calibri" w:hAnsi="Calibri" w:cs="Calibri"/>
          <w:color w:val="000000"/>
        </w:rPr>
        <w:t>. The study used</w:t>
      </w:r>
      <w:r w:rsidRPr="00400B7C">
        <w:rPr>
          <w:rFonts w:ascii="Calibri" w:hAnsi="Calibri" w:cs="Calibri"/>
          <w:color w:val="000000"/>
        </w:rPr>
        <w:t xml:space="preserve"> princip</w:t>
      </w:r>
      <w:r w:rsidR="00104350">
        <w:rPr>
          <w:rFonts w:ascii="Calibri" w:hAnsi="Calibri" w:cs="Calibri"/>
          <w:color w:val="000000"/>
        </w:rPr>
        <w:t>al</w:t>
      </w:r>
      <w:r w:rsidRPr="00400B7C">
        <w:rPr>
          <w:rFonts w:ascii="Calibri" w:hAnsi="Calibri" w:cs="Calibri"/>
          <w:color w:val="000000"/>
        </w:rPr>
        <w:t xml:space="preserve"> component analysis</w:t>
      </w:r>
      <w:r w:rsidR="00023103">
        <w:rPr>
          <w:rFonts w:ascii="Calibri" w:hAnsi="Calibri" w:cs="Calibri"/>
          <w:color w:val="000000"/>
        </w:rPr>
        <w:t xml:space="preserve"> (PCA)</w:t>
      </w:r>
      <w:r w:rsidRPr="00400B7C">
        <w:rPr>
          <w:rFonts w:ascii="Calibri" w:hAnsi="Calibri" w:cs="Calibri"/>
          <w:color w:val="000000"/>
        </w:rPr>
        <w:t xml:space="preserve"> to </w:t>
      </w:r>
      <w:r w:rsidR="00023103">
        <w:rPr>
          <w:rFonts w:ascii="Calibri" w:hAnsi="Calibri" w:cs="Calibri"/>
          <w:color w:val="000000"/>
        </w:rPr>
        <w:t>preprocess</w:t>
      </w:r>
      <w:r w:rsidRPr="00400B7C">
        <w:rPr>
          <w:rFonts w:ascii="Calibri" w:hAnsi="Calibri" w:cs="Calibri"/>
          <w:color w:val="000000"/>
        </w:rPr>
        <w:t xml:space="preserve"> thirty-eight change variables </w:t>
      </w:r>
      <w:r w:rsidR="00BF5C6C">
        <w:rPr>
          <w:rFonts w:ascii="Calibri" w:hAnsi="Calibri" w:cs="Calibri"/>
          <w:color w:val="000000"/>
        </w:rPr>
        <w:t>down to</w:t>
      </w:r>
      <w:r w:rsidRPr="00400B7C">
        <w:rPr>
          <w:rFonts w:ascii="Calibri" w:hAnsi="Calibri" w:cs="Calibri"/>
          <w:color w:val="000000"/>
        </w:rPr>
        <w:t xml:space="preserve"> five dimensions of change. </w:t>
      </w:r>
      <w:r w:rsidR="00A84BC5">
        <w:rPr>
          <w:rFonts w:ascii="Calibri" w:hAnsi="Calibri" w:cs="Calibri"/>
          <w:color w:val="000000"/>
        </w:rPr>
        <w:t>54</w:t>
      </w:r>
      <w:r w:rsidRPr="00400B7C">
        <w:rPr>
          <w:rFonts w:ascii="Calibri" w:hAnsi="Calibri" w:cs="Calibri"/>
          <w:color w:val="000000"/>
        </w:rPr>
        <w:t xml:space="preserve"> </w:t>
      </w:r>
      <w:r w:rsidR="00A84BC5">
        <w:rPr>
          <w:rFonts w:ascii="Calibri" w:hAnsi="Calibri" w:cs="Calibri"/>
          <w:color w:val="000000"/>
        </w:rPr>
        <w:t>C</w:t>
      </w:r>
      <w:r w:rsidRPr="00400B7C">
        <w:rPr>
          <w:rFonts w:ascii="Calibri" w:hAnsi="Calibri" w:cs="Calibri"/>
          <w:color w:val="000000"/>
        </w:rPr>
        <w:t xml:space="preserve">ensus tracts </w:t>
      </w:r>
      <w:r w:rsidR="00023103">
        <w:rPr>
          <w:rFonts w:ascii="Calibri" w:hAnsi="Calibri" w:cs="Calibri"/>
          <w:color w:val="000000"/>
        </w:rPr>
        <w:lastRenderedPageBreak/>
        <w:t>showed</w:t>
      </w:r>
      <w:r w:rsidRPr="00400B7C">
        <w:rPr>
          <w:rFonts w:ascii="Calibri" w:hAnsi="Calibri" w:cs="Calibri"/>
          <w:color w:val="000000"/>
        </w:rPr>
        <w:t xml:space="preserve"> levels of upgrading in line with</w:t>
      </w:r>
      <w:r w:rsidR="00023103">
        <w:rPr>
          <w:rFonts w:ascii="Calibri" w:hAnsi="Calibri" w:cs="Calibri"/>
          <w:color w:val="000000"/>
        </w:rPr>
        <w:t xml:space="preserve"> their definition of</w:t>
      </w:r>
      <w:r w:rsidRPr="00400B7C">
        <w:rPr>
          <w:rFonts w:ascii="Calibri" w:hAnsi="Calibri" w:cs="Calibri"/>
          <w:color w:val="000000"/>
        </w:rPr>
        <w:t xml:space="preserve"> gentrification. Across these tracts</w:t>
      </w:r>
      <w:r w:rsidR="00436B00">
        <w:rPr>
          <w:rFonts w:ascii="Calibri" w:hAnsi="Calibri" w:cs="Calibri"/>
          <w:color w:val="000000"/>
        </w:rPr>
        <w:t>,</w:t>
      </w:r>
      <w:r w:rsidRPr="00400B7C">
        <w:rPr>
          <w:rFonts w:ascii="Calibri" w:hAnsi="Calibri" w:cs="Calibri"/>
          <w:color w:val="000000"/>
        </w:rPr>
        <w:t xml:space="preserve"> college graduates increased by 88%, home values increased by 30%, and per capita incomes increased by 53.1%.</w:t>
      </w:r>
      <w:r w:rsidR="00303D5C">
        <w:rPr>
          <w:rFonts w:ascii="Calibri" w:hAnsi="Calibri" w:cs="Calibri"/>
          <w:color w:val="000000"/>
        </w:rPr>
        <w:t xml:space="preserve"> </w:t>
      </w:r>
      <w:r w:rsidRPr="00400B7C">
        <w:rPr>
          <w:rFonts w:ascii="Calibri" w:hAnsi="Calibri" w:cs="Calibri"/>
          <w:color w:val="000000"/>
        </w:rPr>
        <w:t xml:space="preserve">Ling and </w:t>
      </w:r>
      <w:proofErr w:type="spellStart"/>
      <w:r w:rsidRPr="00400B7C">
        <w:rPr>
          <w:rFonts w:ascii="Calibri" w:hAnsi="Calibri" w:cs="Calibri"/>
          <w:color w:val="000000"/>
        </w:rPr>
        <w:t>Delmelle</w:t>
      </w:r>
      <w:proofErr w:type="spellEnd"/>
      <w:r w:rsidRPr="00400B7C">
        <w:rPr>
          <w:rFonts w:ascii="Calibri" w:hAnsi="Calibri" w:cs="Calibri"/>
          <w:color w:val="000000"/>
        </w:rPr>
        <w:t xml:space="preserve"> (2016) preprocessed </w:t>
      </w:r>
      <w:r w:rsidR="00A84BC5">
        <w:rPr>
          <w:rFonts w:ascii="Calibri" w:hAnsi="Calibri" w:cs="Calibri"/>
          <w:color w:val="000000"/>
        </w:rPr>
        <w:t>11</w:t>
      </w:r>
      <w:r w:rsidR="00A84BC5" w:rsidRPr="00400B7C">
        <w:rPr>
          <w:rFonts w:ascii="Calibri" w:hAnsi="Calibri" w:cs="Calibri"/>
          <w:color w:val="000000"/>
        </w:rPr>
        <w:t xml:space="preserve"> </w:t>
      </w:r>
      <w:r w:rsidR="00A84BC5">
        <w:rPr>
          <w:rFonts w:ascii="Calibri" w:hAnsi="Calibri" w:cs="Calibri"/>
          <w:color w:val="000000"/>
        </w:rPr>
        <w:t>C</w:t>
      </w:r>
      <w:r w:rsidRPr="00400B7C">
        <w:rPr>
          <w:rFonts w:ascii="Calibri" w:hAnsi="Calibri" w:cs="Calibri"/>
          <w:color w:val="000000"/>
        </w:rPr>
        <w:t>ensus change variables (1970 -2010) using a self-organizing map procedure before conducting a k-means clustering analysis to analyze temporal</w:t>
      </w:r>
      <w:r w:rsidR="00853E79">
        <w:rPr>
          <w:rFonts w:ascii="Calibri" w:hAnsi="Calibri" w:cs="Calibri"/>
          <w:color w:val="000000"/>
        </w:rPr>
        <w:t xml:space="preserve"> </w:t>
      </w:r>
      <w:r w:rsidRPr="00400B7C">
        <w:rPr>
          <w:rFonts w:ascii="Calibri" w:hAnsi="Calibri" w:cs="Calibri"/>
          <w:color w:val="000000"/>
        </w:rPr>
        <w:t xml:space="preserve">trajectories in eight US cities. </w:t>
      </w:r>
    </w:p>
    <w:p w14:paraId="4B76F5AC" w14:textId="77777777" w:rsidR="00BF5C6C" w:rsidRDefault="00BF5C6C" w:rsidP="00D33A5F">
      <w:pPr>
        <w:autoSpaceDE w:val="0"/>
        <w:autoSpaceDN w:val="0"/>
        <w:adjustRightInd w:val="0"/>
        <w:spacing w:after="0" w:line="240" w:lineRule="auto"/>
        <w:ind w:firstLine="720"/>
        <w:rPr>
          <w:rFonts w:ascii="Calibri" w:hAnsi="Calibri" w:cs="Calibri"/>
          <w:color w:val="000000"/>
        </w:rPr>
      </w:pPr>
    </w:p>
    <w:p w14:paraId="35A11EF8" w14:textId="52E8D0AA" w:rsidR="00E336C0" w:rsidRDefault="00745B20" w:rsidP="004E74DF">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xml:space="preserve">Liu et al (2019) compare </w:t>
      </w:r>
      <w:r w:rsidR="00436B00">
        <w:rPr>
          <w:rFonts w:ascii="Calibri" w:hAnsi="Calibri" w:cs="Calibri"/>
          <w:color w:val="000000"/>
        </w:rPr>
        <w:t xml:space="preserve">a </w:t>
      </w:r>
      <w:r>
        <w:rPr>
          <w:rFonts w:ascii="Calibri" w:hAnsi="Calibri" w:cs="Calibri"/>
          <w:color w:val="000000"/>
        </w:rPr>
        <w:t xml:space="preserve">k-means clustering approach </w:t>
      </w:r>
      <w:r w:rsidR="00436B00">
        <w:rPr>
          <w:rFonts w:ascii="Calibri" w:hAnsi="Calibri" w:cs="Calibri"/>
          <w:color w:val="000000"/>
        </w:rPr>
        <w:t>against</w:t>
      </w:r>
      <w:r>
        <w:rPr>
          <w:rFonts w:ascii="Calibri" w:hAnsi="Calibri" w:cs="Calibri"/>
          <w:color w:val="000000"/>
        </w:rPr>
        <w:t xml:space="preserve"> </w:t>
      </w:r>
      <w:r w:rsidR="00CE4F0C">
        <w:rPr>
          <w:rFonts w:ascii="Calibri" w:hAnsi="Calibri" w:cs="Calibri"/>
          <w:color w:val="000000"/>
        </w:rPr>
        <w:t xml:space="preserve">a </w:t>
      </w:r>
      <w:r w:rsidR="00B12252">
        <w:rPr>
          <w:rFonts w:ascii="Calibri" w:hAnsi="Calibri" w:cs="Calibri"/>
          <w:color w:val="000000"/>
        </w:rPr>
        <w:t>threshold</w:t>
      </w:r>
      <w:r>
        <w:rPr>
          <w:rFonts w:ascii="Calibri" w:hAnsi="Calibri" w:cs="Calibri"/>
          <w:color w:val="000000"/>
        </w:rPr>
        <w:t xml:space="preserve"> method in Auckland, Australia. </w:t>
      </w:r>
      <w:r w:rsidR="00A77E64">
        <w:rPr>
          <w:rFonts w:ascii="Calibri" w:hAnsi="Calibri" w:cs="Calibri"/>
          <w:color w:val="000000"/>
        </w:rPr>
        <w:t>The</w:t>
      </w:r>
      <w:r w:rsidR="00436B00">
        <w:rPr>
          <w:rFonts w:ascii="Calibri" w:hAnsi="Calibri" w:cs="Calibri"/>
          <w:color w:val="000000"/>
        </w:rPr>
        <w:t>y</w:t>
      </w:r>
      <w:r w:rsidR="00A77E64">
        <w:rPr>
          <w:rFonts w:ascii="Calibri" w:hAnsi="Calibri" w:cs="Calibri"/>
          <w:color w:val="000000"/>
        </w:rPr>
        <w:t xml:space="preserve"> conclude that “</w:t>
      </w:r>
      <w:r w:rsidR="00A77E64" w:rsidRPr="00037F1B">
        <w:rPr>
          <w:rFonts w:ascii="Calibri" w:hAnsi="Calibri" w:cs="Calibri"/>
          <w:i/>
          <w:iCs/>
          <w:color w:val="000000"/>
        </w:rPr>
        <w:t>both approaches are in accord with each other</w:t>
      </w:r>
      <w:r w:rsidR="00A77E64">
        <w:rPr>
          <w:rFonts w:ascii="Calibri" w:hAnsi="Calibri" w:cs="Calibri"/>
          <w:color w:val="000000"/>
        </w:rPr>
        <w:t>”</w:t>
      </w:r>
      <w:r w:rsidR="005302C5">
        <w:rPr>
          <w:rFonts w:ascii="Calibri" w:hAnsi="Calibri" w:cs="Calibri"/>
          <w:color w:val="000000"/>
        </w:rPr>
        <w:t xml:space="preserve"> and advocate </w:t>
      </w:r>
      <w:r w:rsidR="009D7750">
        <w:rPr>
          <w:rFonts w:ascii="Calibri" w:hAnsi="Calibri" w:cs="Calibri"/>
          <w:color w:val="000000"/>
        </w:rPr>
        <w:t>that the</w:t>
      </w:r>
      <w:r w:rsidR="005302C5">
        <w:rPr>
          <w:rFonts w:ascii="Calibri" w:hAnsi="Calibri" w:cs="Calibri"/>
          <w:color w:val="000000"/>
        </w:rPr>
        <w:t xml:space="preserve"> methods</w:t>
      </w:r>
      <w:r w:rsidR="009D7750">
        <w:rPr>
          <w:rFonts w:ascii="Calibri" w:hAnsi="Calibri" w:cs="Calibri"/>
          <w:color w:val="000000"/>
        </w:rPr>
        <w:t xml:space="preserve"> be used in conjunction. </w:t>
      </w:r>
      <w:r w:rsidR="00037F1B">
        <w:rPr>
          <w:rFonts w:ascii="Calibri" w:hAnsi="Calibri" w:cs="Calibri"/>
          <w:color w:val="000000"/>
        </w:rPr>
        <w:t>However, th</w:t>
      </w:r>
      <w:r w:rsidR="00CE4F0C">
        <w:rPr>
          <w:rFonts w:ascii="Calibri" w:hAnsi="Calibri" w:cs="Calibri"/>
          <w:color w:val="000000"/>
        </w:rPr>
        <w:t xml:space="preserve">e conclusions </w:t>
      </w:r>
      <w:r w:rsidR="00194F52">
        <w:rPr>
          <w:rFonts w:ascii="Calibri" w:hAnsi="Calibri" w:cs="Calibri"/>
          <w:color w:val="000000"/>
        </w:rPr>
        <w:t xml:space="preserve">of this work </w:t>
      </w:r>
      <w:r w:rsidR="00CE4F0C">
        <w:rPr>
          <w:rFonts w:ascii="Calibri" w:hAnsi="Calibri" w:cs="Calibri"/>
          <w:color w:val="000000"/>
        </w:rPr>
        <w:t xml:space="preserve">are less generalizable </w:t>
      </w:r>
      <w:r w:rsidR="00F55FAC">
        <w:rPr>
          <w:rFonts w:ascii="Calibri" w:hAnsi="Calibri" w:cs="Calibri"/>
          <w:color w:val="000000"/>
        </w:rPr>
        <w:t xml:space="preserve">as the compared methods are </w:t>
      </w:r>
      <w:r w:rsidR="00D33A5F">
        <w:rPr>
          <w:rFonts w:ascii="Calibri" w:hAnsi="Calibri" w:cs="Calibri"/>
          <w:color w:val="000000"/>
        </w:rPr>
        <w:t>inter-dependent</w:t>
      </w:r>
      <w:r w:rsidR="00F55FAC">
        <w:rPr>
          <w:rFonts w:ascii="Calibri" w:hAnsi="Calibri" w:cs="Calibri"/>
          <w:color w:val="000000"/>
        </w:rPr>
        <w:t xml:space="preserve">. </w:t>
      </w:r>
      <w:r w:rsidR="00D33A5F">
        <w:rPr>
          <w:rFonts w:ascii="Calibri" w:hAnsi="Calibri" w:cs="Calibri"/>
          <w:color w:val="000000"/>
        </w:rPr>
        <w:t xml:space="preserve">The study </w:t>
      </w:r>
      <w:r w:rsidR="00946865">
        <w:rPr>
          <w:rFonts w:ascii="Calibri" w:hAnsi="Calibri" w:cs="Calibri"/>
          <w:color w:val="000000"/>
        </w:rPr>
        <w:t>iteratively adjus</w:t>
      </w:r>
      <w:r w:rsidR="00D33A5F">
        <w:rPr>
          <w:rFonts w:ascii="Calibri" w:hAnsi="Calibri" w:cs="Calibri"/>
          <w:color w:val="000000"/>
        </w:rPr>
        <w:t>t</w:t>
      </w:r>
      <w:r w:rsidR="00127444">
        <w:rPr>
          <w:rFonts w:ascii="Calibri" w:hAnsi="Calibri" w:cs="Calibri"/>
          <w:color w:val="000000"/>
        </w:rPr>
        <w:t>s</w:t>
      </w:r>
      <w:r w:rsidR="00D33A5F">
        <w:rPr>
          <w:rFonts w:ascii="Calibri" w:hAnsi="Calibri" w:cs="Calibri"/>
          <w:color w:val="000000"/>
        </w:rPr>
        <w:t xml:space="preserve"> threshold values</w:t>
      </w:r>
      <w:r w:rsidR="00CE4F0C">
        <w:rPr>
          <w:rFonts w:ascii="Calibri" w:hAnsi="Calibri" w:cs="Calibri"/>
          <w:color w:val="000000"/>
        </w:rPr>
        <w:t xml:space="preserve"> to maximize </w:t>
      </w:r>
      <w:r w:rsidR="00656B3F">
        <w:rPr>
          <w:rFonts w:ascii="Calibri" w:hAnsi="Calibri" w:cs="Calibri"/>
          <w:color w:val="000000"/>
        </w:rPr>
        <w:t xml:space="preserve">the </w:t>
      </w:r>
      <w:r w:rsidR="00CE4F0C">
        <w:rPr>
          <w:rFonts w:ascii="Calibri" w:hAnsi="Calibri" w:cs="Calibri"/>
          <w:color w:val="000000"/>
        </w:rPr>
        <w:t xml:space="preserve">similarity </w:t>
      </w:r>
      <w:r w:rsidR="00D33A5F">
        <w:rPr>
          <w:rFonts w:ascii="Calibri" w:hAnsi="Calibri" w:cs="Calibri"/>
          <w:color w:val="000000"/>
        </w:rPr>
        <w:t>to that of the</w:t>
      </w:r>
      <w:r w:rsidR="00F55FAC">
        <w:rPr>
          <w:rFonts w:ascii="Calibri" w:hAnsi="Calibri" w:cs="Calibri"/>
          <w:color w:val="000000"/>
        </w:rPr>
        <w:t xml:space="preserve"> clustering </w:t>
      </w:r>
      <w:r w:rsidR="00CE4F0C">
        <w:rPr>
          <w:rFonts w:ascii="Calibri" w:hAnsi="Calibri" w:cs="Calibri"/>
          <w:color w:val="000000"/>
        </w:rPr>
        <w:t xml:space="preserve">method. </w:t>
      </w:r>
      <w:r w:rsidR="00946865">
        <w:rPr>
          <w:rFonts w:ascii="Calibri" w:hAnsi="Calibri" w:cs="Calibri"/>
          <w:color w:val="000000"/>
        </w:rPr>
        <w:t xml:space="preserve">That is to say, the two methods </w:t>
      </w:r>
      <w:r w:rsidR="00946865" w:rsidRPr="008F235B">
        <w:rPr>
          <w:rFonts w:ascii="Calibri" w:hAnsi="Calibri" w:cs="Calibri"/>
          <w:i/>
          <w:iCs/>
          <w:color w:val="000000"/>
        </w:rPr>
        <w:t>can</w:t>
      </w:r>
      <w:r w:rsidR="00946865">
        <w:rPr>
          <w:rFonts w:ascii="Calibri" w:hAnsi="Calibri" w:cs="Calibri"/>
          <w:color w:val="000000"/>
        </w:rPr>
        <w:t xml:space="preserve"> produce similar results </w:t>
      </w:r>
      <w:r w:rsidR="008F235B">
        <w:rPr>
          <w:rFonts w:ascii="Calibri" w:hAnsi="Calibri" w:cs="Calibri"/>
          <w:color w:val="000000"/>
        </w:rPr>
        <w:t>only after</w:t>
      </w:r>
      <w:r w:rsidR="00946865">
        <w:rPr>
          <w:rFonts w:ascii="Calibri" w:hAnsi="Calibri" w:cs="Calibri"/>
          <w:color w:val="000000"/>
        </w:rPr>
        <w:t xml:space="preserve"> a mathematical search of opti</w:t>
      </w:r>
      <w:r w:rsidR="005302C5">
        <w:rPr>
          <w:rFonts w:ascii="Calibri" w:hAnsi="Calibri" w:cs="Calibri"/>
          <w:color w:val="000000"/>
        </w:rPr>
        <w:t>mized</w:t>
      </w:r>
      <w:r w:rsidR="00946865">
        <w:rPr>
          <w:rFonts w:ascii="Calibri" w:hAnsi="Calibri" w:cs="Calibri"/>
          <w:color w:val="000000"/>
        </w:rPr>
        <w:t xml:space="preserve"> threshold values.</w:t>
      </w:r>
      <w:r w:rsidR="008F235B">
        <w:rPr>
          <w:rFonts w:ascii="Calibri" w:hAnsi="Calibri" w:cs="Calibri"/>
          <w:color w:val="000000"/>
        </w:rPr>
        <w:t xml:space="preserve"> </w:t>
      </w:r>
      <w:r w:rsidR="00653640">
        <w:rPr>
          <w:rFonts w:ascii="Calibri" w:hAnsi="Calibri" w:cs="Calibri"/>
          <w:color w:val="000000"/>
        </w:rPr>
        <w:t xml:space="preserve">In practice, </w:t>
      </w:r>
      <w:r w:rsidR="00F55FAC">
        <w:rPr>
          <w:rFonts w:ascii="Calibri" w:hAnsi="Calibri" w:cs="Calibri"/>
          <w:color w:val="000000"/>
        </w:rPr>
        <w:t xml:space="preserve">the </w:t>
      </w:r>
      <w:r w:rsidR="00D33A5F">
        <w:rPr>
          <w:rFonts w:ascii="Calibri" w:hAnsi="Calibri" w:cs="Calibri"/>
          <w:color w:val="000000"/>
        </w:rPr>
        <w:t>intra-</w:t>
      </w:r>
      <w:r w:rsidR="00F55FAC">
        <w:rPr>
          <w:rFonts w:ascii="Calibri" w:hAnsi="Calibri" w:cs="Calibri"/>
          <w:color w:val="000000"/>
        </w:rPr>
        <w:t>sensitivit</w:t>
      </w:r>
      <w:r w:rsidR="00653640">
        <w:rPr>
          <w:rFonts w:ascii="Calibri" w:hAnsi="Calibri" w:cs="Calibri"/>
          <w:color w:val="000000"/>
        </w:rPr>
        <w:t xml:space="preserve">y within a single </w:t>
      </w:r>
      <w:r w:rsidR="00B12252">
        <w:rPr>
          <w:rFonts w:ascii="Calibri" w:hAnsi="Calibri" w:cs="Calibri"/>
          <w:color w:val="000000"/>
        </w:rPr>
        <w:t>threshold</w:t>
      </w:r>
      <w:r w:rsidR="00F55FAC">
        <w:rPr>
          <w:rFonts w:ascii="Calibri" w:hAnsi="Calibri" w:cs="Calibri"/>
          <w:color w:val="000000"/>
        </w:rPr>
        <w:t xml:space="preserve"> </w:t>
      </w:r>
      <w:r w:rsidR="00653640">
        <w:rPr>
          <w:rFonts w:ascii="Calibri" w:hAnsi="Calibri" w:cs="Calibri"/>
          <w:color w:val="000000"/>
        </w:rPr>
        <w:t xml:space="preserve">definition </w:t>
      </w:r>
      <w:r w:rsidR="0026530D">
        <w:rPr>
          <w:rFonts w:ascii="Calibri" w:hAnsi="Calibri" w:cs="Calibri"/>
          <w:color w:val="000000"/>
        </w:rPr>
        <w:t xml:space="preserve">can </w:t>
      </w:r>
      <w:r w:rsidR="00653640">
        <w:rPr>
          <w:rFonts w:ascii="Calibri" w:hAnsi="Calibri" w:cs="Calibri"/>
          <w:color w:val="000000"/>
        </w:rPr>
        <w:t xml:space="preserve">obscure </w:t>
      </w:r>
      <w:r w:rsidR="00026C4E">
        <w:rPr>
          <w:rFonts w:ascii="Calibri" w:hAnsi="Calibri" w:cs="Calibri"/>
          <w:color w:val="000000"/>
        </w:rPr>
        <w:t>its</w:t>
      </w:r>
      <w:r w:rsidR="00653640">
        <w:rPr>
          <w:rFonts w:ascii="Calibri" w:hAnsi="Calibri" w:cs="Calibri"/>
          <w:color w:val="000000"/>
        </w:rPr>
        <w:t xml:space="preserve"> comparison to </w:t>
      </w:r>
      <w:r w:rsidR="00026C4E">
        <w:rPr>
          <w:rFonts w:ascii="Calibri" w:hAnsi="Calibri" w:cs="Calibri"/>
          <w:color w:val="000000"/>
        </w:rPr>
        <w:t xml:space="preserve">a </w:t>
      </w:r>
      <w:r w:rsidR="00653640">
        <w:rPr>
          <w:rFonts w:ascii="Calibri" w:hAnsi="Calibri" w:cs="Calibri"/>
          <w:color w:val="000000"/>
        </w:rPr>
        <w:t>clustering approach.</w:t>
      </w:r>
      <w:r w:rsidR="00F55FAC">
        <w:rPr>
          <w:rFonts w:ascii="Calibri" w:hAnsi="Calibri" w:cs="Calibri"/>
          <w:color w:val="000000"/>
        </w:rPr>
        <w:t xml:space="preserve"> </w:t>
      </w:r>
    </w:p>
    <w:p w14:paraId="7A23B7EB" w14:textId="24CD37FD" w:rsidR="00912DA0" w:rsidRDefault="00912DA0" w:rsidP="004E74DF">
      <w:pPr>
        <w:autoSpaceDE w:val="0"/>
        <w:autoSpaceDN w:val="0"/>
        <w:adjustRightInd w:val="0"/>
        <w:spacing w:after="0" w:line="240" w:lineRule="auto"/>
        <w:ind w:firstLine="720"/>
        <w:rPr>
          <w:rFonts w:ascii="Calibri" w:hAnsi="Calibri" w:cs="Calibri"/>
          <w:color w:val="000000"/>
        </w:rPr>
      </w:pPr>
    </w:p>
    <w:p w14:paraId="4F7731D4" w14:textId="003DBC3C" w:rsidR="009568B4" w:rsidRDefault="004011D7" w:rsidP="00FB3A96">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A</w:t>
      </w:r>
      <w:r w:rsidR="00026C4E">
        <w:rPr>
          <w:rFonts w:ascii="Calibri" w:hAnsi="Calibri" w:cs="Calibri"/>
          <w:color w:val="000000"/>
        </w:rPr>
        <w:t xml:space="preserve"> </w:t>
      </w:r>
      <w:r w:rsidR="00656B3F">
        <w:rPr>
          <w:rFonts w:ascii="Calibri" w:hAnsi="Calibri" w:cs="Calibri"/>
          <w:color w:val="000000"/>
        </w:rPr>
        <w:t xml:space="preserve">warranted </w:t>
      </w:r>
      <w:r w:rsidR="00026C4E">
        <w:rPr>
          <w:rFonts w:ascii="Calibri" w:hAnsi="Calibri" w:cs="Calibri"/>
          <w:color w:val="000000"/>
        </w:rPr>
        <w:t xml:space="preserve">criticism of clustering </w:t>
      </w:r>
      <w:r w:rsidR="008B4672">
        <w:rPr>
          <w:rFonts w:ascii="Calibri" w:hAnsi="Calibri" w:cs="Calibri"/>
          <w:color w:val="000000"/>
        </w:rPr>
        <w:t>methods</w:t>
      </w:r>
      <w:r w:rsidR="00026C4E">
        <w:rPr>
          <w:rFonts w:ascii="Calibri" w:hAnsi="Calibri" w:cs="Calibri"/>
          <w:color w:val="000000"/>
        </w:rPr>
        <w:t xml:space="preserve"> </w:t>
      </w:r>
      <w:r w:rsidR="00BE49A5">
        <w:rPr>
          <w:rFonts w:ascii="Calibri" w:hAnsi="Calibri" w:cs="Calibri"/>
          <w:color w:val="000000"/>
        </w:rPr>
        <w:t>asserts</w:t>
      </w:r>
      <w:r w:rsidR="00026C4E">
        <w:rPr>
          <w:rFonts w:ascii="Calibri" w:hAnsi="Calibri" w:cs="Calibri"/>
          <w:color w:val="000000"/>
        </w:rPr>
        <w:t xml:space="preserve"> that wh</w:t>
      </w:r>
      <w:r w:rsidR="00FB3A96">
        <w:rPr>
          <w:rFonts w:ascii="Calibri" w:hAnsi="Calibri" w:cs="Calibri"/>
          <w:color w:val="000000"/>
        </w:rPr>
        <w:t>at</w:t>
      </w:r>
      <w:r w:rsidR="00026C4E">
        <w:rPr>
          <w:rFonts w:ascii="Calibri" w:hAnsi="Calibri" w:cs="Calibri"/>
          <w:color w:val="000000"/>
        </w:rPr>
        <w:t xml:space="preserve"> the</w:t>
      </w:r>
      <w:r w:rsidR="00525903">
        <w:rPr>
          <w:rFonts w:ascii="Calibri" w:hAnsi="Calibri" w:cs="Calibri"/>
          <w:color w:val="000000"/>
        </w:rPr>
        <w:t>y</w:t>
      </w:r>
      <w:r w:rsidR="00026C4E">
        <w:rPr>
          <w:rFonts w:ascii="Calibri" w:hAnsi="Calibri" w:cs="Calibri"/>
          <w:color w:val="000000"/>
        </w:rPr>
        <w:t xml:space="preserve"> </w:t>
      </w:r>
      <w:r w:rsidR="00FB3A96">
        <w:rPr>
          <w:rFonts w:ascii="Calibri" w:hAnsi="Calibri" w:cs="Calibri"/>
          <w:color w:val="000000"/>
        </w:rPr>
        <w:t>gain in</w:t>
      </w:r>
      <w:r w:rsidR="00026C4E">
        <w:rPr>
          <w:rFonts w:ascii="Calibri" w:hAnsi="Calibri" w:cs="Calibri"/>
          <w:color w:val="000000"/>
        </w:rPr>
        <w:t xml:space="preserve"> objectivity</w:t>
      </w:r>
      <w:r w:rsidR="008E36A5">
        <w:rPr>
          <w:rFonts w:ascii="Calibri" w:hAnsi="Calibri" w:cs="Calibri"/>
          <w:color w:val="000000"/>
        </w:rPr>
        <w:t xml:space="preserve"> </w:t>
      </w:r>
      <w:r w:rsidR="00525903">
        <w:rPr>
          <w:rFonts w:ascii="Calibri" w:hAnsi="Calibri" w:cs="Calibri"/>
          <w:color w:val="000000"/>
        </w:rPr>
        <w:t xml:space="preserve">is </w:t>
      </w:r>
      <w:r w:rsidR="00FB3A96">
        <w:rPr>
          <w:rFonts w:ascii="Calibri" w:hAnsi="Calibri" w:cs="Calibri"/>
          <w:color w:val="000000"/>
        </w:rPr>
        <w:t>sacrifice</w:t>
      </w:r>
      <w:r w:rsidR="008E36A5">
        <w:rPr>
          <w:rFonts w:ascii="Calibri" w:hAnsi="Calibri" w:cs="Calibri"/>
          <w:color w:val="000000"/>
        </w:rPr>
        <w:t>d in</w:t>
      </w:r>
      <w:r w:rsidR="00026C4E">
        <w:rPr>
          <w:rFonts w:ascii="Calibri" w:hAnsi="Calibri" w:cs="Calibri"/>
          <w:color w:val="000000"/>
        </w:rPr>
        <w:t xml:space="preserve"> interpretability.</w:t>
      </w:r>
      <w:r w:rsidR="00FB3A96">
        <w:rPr>
          <w:rFonts w:ascii="Calibri" w:hAnsi="Calibri" w:cs="Calibri"/>
          <w:color w:val="000000"/>
        </w:rPr>
        <w:t xml:space="preserve"> </w:t>
      </w:r>
      <w:r w:rsidR="00D33A5F">
        <w:rPr>
          <w:rFonts w:ascii="Calibri" w:hAnsi="Calibri" w:cs="Calibri"/>
          <w:color w:val="000000"/>
        </w:rPr>
        <w:t>T</w:t>
      </w:r>
      <w:r>
        <w:rPr>
          <w:rFonts w:ascii="Calibri" w:hAnsi="Calibri" w:cs="Calibri"/>
          <w:color w:val="000000"/>
        </w:rPr>
        <w:t>h</w:t>
      </w:r>
      <w:r w:rsidR="00D33A5F">
        <w:rPr>
          <w:rFonts w:ascii="Calibri" w:hAnsi="Calibri" w:cs="Calibri"/>
          <w:color w:val="000000"/>
        </w:rPr>
        <w:t>is</w:t>
      </w:r>
      <w:r>
        <w:rPr>
          <w:rFonts w:ascii="Calibri" w:hAnsi="Calibri" w:cs="Calibri"/>
          <w:color w:val="000000"/>
        </w:rPr>
        <w:t xml:space="preserve"> issue </w:t>
      </w:r>
      <w:r w:rsidR="008B4672">
        <w:rPr>
          <w:rFonts w:ascii="Calibri" w:hAnsi="Calibri" w:cs="Calibri"/>
          <w:color w:val="000000"/>
        </w:rPr>
        <w:t xml:space="preserve">is addressed </w:t>
      </w:r>
      <w:r w:rsidR="00525903">
        <w:rPr>
          <w:rFonts w:ascii="Calibri" w:hAnsi="Calibri" w:cs="Calibri"/>
          <w:color w:val="000000"/>
        </w:rPr>
        <w:t xml:space="preserve">here </w:t>
      </w:r>
      <w:r w:rsidR="00BF5C6C">
        <w:rPr>
          <w:rFonts w:ascii="Calibri" w:hAnsi="Calibri" w:cs="Calibri"/>
          <w:color w:val="000000"/>
        </w:rPr>
        <w:t xml:space="preserve">by applying </w:t>
      </w:r>
      <w:r w:rsidR="00525903">
        <w:rPr>
          <w:rFonts w:ascii="Calibri" w:hAnsi="Calibri" w:cs="Calibri"/>
          <w:color w:val="000000"/>
        </w:rPr>
        <w:t>intuitive</w:t>
      </w:r>
      <w:r w:rsidR="008B4672">
        <w:rPr>
          <w:rFonts w:ascii="Calibri" w:hAnsi="Calibri" w:cs="Calibri"/>
          <w:color w:val="000000"/>
        </w:rPr>
        <w:t xml:space="preserve"> </w:t>
      </w:r>
      <w:r w:rsidR="00D33A5F">
        <w:rPr>
          <w:rFonts w:ascii="Calibri" w:hAnsi="Calibri" w:cs="Calibri"/>
          <w:color w:val="000000"/>
        </w:rPr>
        <w:t xml:space="preserve">summary statistical </w:t>
      </w:r>
      <w:r w:rsidR="00FB3A96">
        <w:rPr>
          <w:rFonts w:ascii="Calibri" w:hAnsi="Calibri" w:cs="Calibri"/>
          <w:color w:val="000000"/>
        </w:rPr>
        <w:t xml:space="preserve">deconstructions of </w:t>
      </w:r>
      <w:r w:rsidR="00D33A5F">
        <w:rPr>
          <w:rFonts w:ascii="Calibri" w:hAnsi="Calibri" w:cs="Calibri"/>
          <w:color w:val="000000"/>
        </w:rPr>
        <w:t>original data</w:t>
      </w:r>
      <w:r w:rsidR="008B4672">
        <w:rPr>
          <w:rFonts w:ascii="Calibri" w:hAnsi="Calibri" w:cs="Calibri"/>
          <w:color w:val="000000"/>
        </w:rPr>
        <w:t>.  In addition to summary</w:t>
      </w:r>
      <w:r w:rsidR="00525903">
        <w:rPr>
          <w:rFonts w:ascii="Calibri" w:hAnsi="Calibri" w:cs="Calibri"/>
          <w:color w:val="000000"/>
        </w:rPr>
        <w:t xml:space="preserve"> change</w:t>
      </w:r>
      <w:r w:rsidR="008B4672">
        <w:rPr>
          <w:rFonts w:ascii="Calibri" w:hAnsi="Calibri" w:cs="Calibri"/>
          <w:color w:val="000000"/>
        </w:rPr>
        <w:t xml:space="preserve"> statistics, </w:t>
      </w:r>
      <w:r>
        <w:rPr>
          <w:rFonts w:ascii="Calibri" w:hAnsi="Calibri" w:cs="Calibri"/>
          <w:color w:val="000000"/>
        </w:rPr>
        <w:t>starting/ending magnitudes</w:t>
      </w:r>
      <w:r w:rsidR="008B4672">
        <w:rPr>
          <w:rFonts w:ascii="Calibri" w:hAnsi="Calibri" w:cs="Calibri"/>
          <w:color w:val="000000"/>
        </w:rPr>
        <w:t xml:space="preserve"> and spatial distributions guide </w:t>
      </w:r>
      <w:r w:rsidR="00525903">
        <w:rPr>
          <w:rFonts w:ascii="Calibri" w:hAnsi="Calibri" w:cs="Calibri"/>
          <w:color w:val="000000"/>
        </w:rPr>
        <w:t>the</w:t>
      </w:r>
      <w:r w:rsidR="008B4672">
        <w:rPr>
          <w:rFonts w:ascii="Calibri" w:hAnsi="Calibri" w:cs="Calibri"/>
          <w:color w:val="000000"/>
        </w:rPr>
        <w:t xml:space="preserve"> translation </w:t>
      </w:r>
      <w:r w:rsidR="00D33A5F">
        <w:rPr>
          <w:rFonts w:ascii="Calibri" w:hAnsi="Calibri" w:cs="Calibri"/>
          <w:color w:val="000000"/>
        </w:rPr>
        <w:t>from</w:t>
      </w:r>
      <w:r w:rsidR="008B4672">
        <w:rPr>
          <w:rFonts w:ascii="Calibri" w:hAnsi="Calibri" w:cs="Calibri"/>
          <w:color w:val="000000"/>
        </w:rPr>
        <w:t xml:space="preserve"> raw cluster outputs to labeled neighborhood typologies</w:t>
      </w:r>
      <w:r w:rsidR="00FB3A96">
        <w:rPr>
          <w:rFonts w:ascii="Calibri" w:hAnsi="Calibri" w:cs="Calibri"/>
          <w:color w:val="000000"/>
        </w:rPr>
        <w:t>. P</w:t>
      </w:r>
      <w:r w:rsidR="00745B20">
        <w:rPr>
          <w:rFonts w:ascii="Calibri" w:hAnsi="Calibri" w:cs="Calibri"/>
          <w:color w:val="000000"/>
        </w:rPr>
        <w:t>revious methods apply</w:t>
      </w:r>
      <w:r w:rsidR="00FB3A96">
        <w:rPr>
          <w:rFonts w:ascii="Calibri" w:hAnsi="Calibri" w:cs="Calibri"/>
          <w:color w:val="000000"/>
        </w:rPr>
        <w:t>ing</w:t>
      </w:r>
      <w:r w:rsidR="00745B20">
        <w:rPr>
          <w:rFonts w:ascii="Calibri" w:hAnsi="Calibri" w:cs="Calibri"/>
          <w:color w:val="000000"/>
        </w:rPr>
        <w:t xml:space="preserve"> machine learning to neighborhood change fall short of </w:t>
      </w:r>
      <w:r>
        <w:rPr>
          <w:rFonts w:ascii="Calibri" w:hAnsi="Calibri" w:cs="Calibri"/>
          <w:color w:val="000000"/>
        </w:rPr>
        <w:t>distilling</w:t>
      </w:r>
      <w:r w:rsidR="00745B20">
        <w:rPr>
          <w:rFonts w:ascii="Calibri" w:hAnsi="Calibri" w:cs="Calibri"/>
          <w:color w:val="000000"/>
        </w:rPr>
        <w:t xml:space="preserve"> the “</w:t>
      </w:r>
      <w:r w:rsidR="00745B20" w:rsidRPr="00525903">
        <w:rPr>
          <w:rFonts w:ascii="Calibri" w:hAnsi="Calibri" w:cs="Calibri"/>
          <w:i/>
          <w:iCs/>
          <w:color w:val="000000"/>
        </w:rPr>
        <w:t>know-it-when-you-see-it</w:t>
      </w:r>
      <w:r w:rsidR="00745B20">
        <w:rPr>
          <w:rFonts w:ascii="Calibri" w:hAnsi="Calibri" w:cs="Calibri"/>
          <w:color w:val="000000"/>
        </w:rPr>
        <w:t>” fingerprint of gentrification</w:t>
      </w:r>
      <w:r w:rsidR="00FB3A96">
        <w:rPr>
          <w:rFonts w:ascii="Calibri" w:hAnsi="Calibri" w:cs="Calibri"/>
          <w:color w:val="000000"/>
        </w:rPr>
        <w:t xml:space="preserve"> with </w:t>
      </w:r>
      <w:r>
        <w:rPr>
          <w:rFonts w:ascii="Calibri" w:hAnsi="Calibri" w:cs="Calibri"/>
          <w:color w:val="000000"/>
        </w:rPr>
        <w:t>objective</w:t>
      </w:r>
      <w:r w:rsidR="00127444">
        <w:rPr>
          <w:rFonts w:ascii="Calibri" w:hAnsi="Calibri" w:cs="Calibri"/>
          <w:color w:val="000000"/>
        </w:rPr>
        <w:t xml:space="preserve">, </w:t>
      </w:r>
      <w:r>
        <w:rPr>
          <w:rFonts w:ascii="Calibri" w:hAnsi="Calibri" w:cs="Calibri"/>
          <w:color w:val="000000"/>
        </w:rPr>
        <w:t xml:space="preserve">quantitative, yet understandable </w:t>
      </w:r>
      <w:r w:rsidR="00FB3A96">
        <w:rPr>
          <w:rFonts w:ascii="Calibri" w:hAnsi="Calibri" w:cs="Calibri"/>
          <w:color w:val="000000"/>
        </w:rPr>
        <w:t>reporting metrics</w:t>
      </w:r>
      <w:r w:rsidR="00745B20">
        <w:rPr>
          <w:rFonts w:ascii="Calibri" w:hAnsi="Calibri" w:cs="Calibri"/>
          <w:color w:val="000000"/>
        </w:rPr>
        <w:t xml:space="preserve">. </w:t>
      </w:r>
      <w:r>
        <w:rPr>
          <w:rFonts w:ascii="Calibri" w:hAnsi="Calibri" w:cs="Calibri"/>
          <w:color w:val="000000"/>
        </w:rPr>
        <w:t xml:space="preserve">With this </w:t>
      </w:r>
      <w:r w:rsidR="008B4672">
        <w:rPr>
          <w:rFonts w:ascii="Calibri" w:hAnsi="Calibri" w:cs="Calibri"/>
          <w:color w:val="000000"/>
        </w:rPr>
        <w:t>tension</w:t>
      </w:r>
      <w:r>
        <w:rPr>
          <w:rFonts w:ascii="Calibri" w:hAnsi="Calibri" w:cs="Calibri"/>
          <w:color w:val="000000"/>
        </w:rPr>
        <w:t xml:space="preserve"> </w:t>
      </w:r>
      <w:r w:rsidR="008B4672">
        <w:rPr>
          <w:rFonts w:ascii="Calibri" w:hAnsi="Calibri" w:cs="Calibri"/>
          <w:color w:val="000000"/>
        </w:rPr>
        <w:t>in mind</w:t>
      </w:r>
      <w:r>
        <w:rPr>
          <w:rFonts w:ascii="Calibri" w:hAnsi="Calibri" w:cs="Calibri"/>
          <w:color w:val="000000"/>
        </w:rPr>
        <w:t xml:space="preserve">, we </w:t>
      </w:r>
      <w:r w:rsidR="00F5789A">
        <w:rPr>
          <w:rFonts w:ascii="Calibri" w:hAnsi="Calibri" w:cs="Calibri"/>
          <w:color w:val="000000"/>
        </w:rPr>
        <w:t>aim</w:t>
      </w:r>
      <w:r w:rsidR="004E74DF">
        <w:rPr>
          <w:rFonts w:ascii="Calibri" w:hAnsi="Calibri" w:cs="Calibri"/>
          <w:color w:val="000000"/>
        </w:rPr>
        <w:t xml:space="preserve"> to</w:t>
      </w:r>
      <w:r w:rsidR="007614B3">
        <w:rPr>
          <w:rFonts w:ascii="Calibri" w:hAnsi="Calibri" w:cs="Calibri"/>
          <w:color w:val="000000"/>
        </w:rPr>
        <w:t xml:space="preserve"> balance</w:t>
      </w:r>
      <w:r w:rsidR="004E74DF">
        <w:rPr>
          <w:rFonts w:ascii="Calibri" w:hAnsi="Calibri" w:cs="Calibri"/>
          <w:color w:val="000000"/>
        </w:rPr>
        <w:t xml:space="preserve"> </w:t>
      </w:r>
      <w:r w:rsidR="007614B3">
        <w:rPr>
          <w:rFonts w:ascii="Calibri" w:hAnsi="Calibri" w:cs="Calibri"/>
          <w:color w:val="000000"/>
        </w:rPr>
        <w:t>the</w:t>
      </w:r>
      <w:r w:rsidR="004E74DF">
        <w:rPr>
          <w:rFonts w:ascii="Calibri" w:hAnsi="Calibri" w:cs="Calibri"/>
          <w:color w:val="000000"/>
        </w:rPr>
        <w:t xml:space="preserve"> objectiv</w:t>
      </w:r>
      <w:r>
        <w:rPr>
          <w:rFonts w:ascii="Calibri" w:hAnsi="Calibri" w:cs="Calibri"/>
          <w:color w:val="000000"/>
        </w:rPr>
        <w:t xml:space="preserve">ity </w:t>
      </w:r>
      <w:r w:rsidR="007614B3">
        <w:rPr>
          <w:rFonts w:ascii="Calibri" w:hAnsi="Calibri" w:cs="Calibri"/>
          <w:color w:val="000000"/>
        </w:rPr>
        <w:t>of</w:t>
      </w:r>
      <w:r>
        <w:rPr>
          <w:rFonts w:ascii="Calibri" w:hAnsi="Calibri" w:cs="Calibri"/>
          <w:color w:val="000000"/>
        </w:rPr>
        <w:t xml:space="preserve"> machine learning</w:t>
      </w:r>
      <w:r w:rsidR="004E74DF">
        <w:rPr>
          <w:rFonts w:ascii="Calibri" w:hAnsi="Calibri" w:cs="Calibri"/>
          <w:color w:val="000000"/>
        </w:rPr>
        <w:t xml:space="preserve"> </w:t>
      </w:r>
      <w:r w:rsidR="007614B3">
        <w:rPr>
          <w:rFonts w:ascii="Calibri" w:hAnsi="Calibri" w:cs="Calibri"/>
          <w:color w:val="000000"/>
        </w:rPr>
        <w:t>methods</w:t>
      </w:r>
      <w:r w:rsidR="004E74DF">
        <w:rPr>
          <w:rFonts w:ascii="Calibri" w:hAnsi="Calibri" w:cs="Calibri"/>
          <w:color w:val="000000"/>
        </w:rPr>
        <w:t>, w</w:t>
      </w:r>
      <w:r>
        <w:rPr>
          <w:rFonts w:ascii="Calibri" w:hAnsi="Calibri" w:cs="Calibri"/>
          <w:color w:val="000000"/>
        </w:rPr>
        <w:t xml:space="preserve">ith </w:t>
      </w:r>
      <w:r w:rsidR="007614B3">
        <w:rPr>
          <w:rFonts w:ascii="Calibri" w:hAnsi="Calibri" w:cs="Calibri"/>
          <w:color w:val="000000"/>
        </w:rPr>
        <w:t>the recognizable patterns of gentrification</w:t>
      </w:r>
      <w:r w:rsidR="008B4672">
        <w:rPr>
          <w:rFonts w:ascii="Calibri" w:hAnsi="Calibri" w:cs="Calibri"/>
          <w:color w:val="000000"/>
        </w:rPr>
        <w:t xml:space="preserve"> and other types of neighborhood change</w:t>
      </w:r>
      <w:r w:rsidR="004E74DF">
        <w:rPr>
          <w:rFonts w:ascii="Calibri" w:hAnsi="Calibri" w:cs="Calibri"/>
          <w:color w:val="000000"/>
        </w:rPr>
        <w:t xml:space="preserve">. </w:t>
      </w:r>
    </w:p>
    <w:p w14:paraId="01C07F3A" w14:textId="77777777" w:rsidR="00E32A5E" w:rsidRDefault="00E32A5E" w:rsidP="00400B7C">
      <w:pPr>
        <w:autoSpaceDE w:val="0"/>
        <w:autoSpaceDN w:val="0"/>
        <w:adjustRightInd w:val="0"/>
        <w:spacing w:after="0" w:line="240" w:lineRule="auto"/>
        <w:rPr>
          <w:rFonts w:ascii="Calibri" w:hAnsi="Calibri" w:cs="Calibri"/>
          <w:color w:val="000000"/>
        </w:rPr>
      </w:pPr>
    </w:p>
    <w:p w14:paraId="5FAB4041" w14:textId="50C2766A" w:rsidR="00E32A5E" w:rsidRDefault="00E32A5E" w:rsidP="00E32A5E">
      <w:pPr>
        <w:pStyle w:val="Heading2"/>
      </w:pPr>
      <w:r>
        <w:t>Case Study</w:t>
      </w:r>
    </w:p>
    <w:p w14:paraId="4E3B85B0" w14:textId="73F0803E" w:rsidR="003275A3" w:rsidRDefault="00E32A5E" w:rsidP="00525903">
      <w:pPr>
        <w:autoSpaceDE w:val="0"/>
        <w:autoSpaceDN w:val="0"/>
        <w:adjustRightInd w:val="0"/>
        <w:spacing w:after="0" w:line="240" w:lineRule="auto"/>
        <w:ind w:firstLine="541"/>
        <w:rPr>
          <w:rFonts w:ascii="Calibri" w:hAnsi="Calibri" w:cs="Calibri"/>
          <w:color w:val="000000"/>
        </w:rPr>
      </w:pPr>
      <w:r w:rsidRPr="005502B3">
        <w:rPr>
          <w:rFonts w:cstheme="minorHAnsi"/>
        </w:rPr>
        <w:t>The 201</w:t>
      </w:r>
      <w:r w:rsidR="004028E2">
        <w:rPr>
          <w:rFonts w:cstheme="minorHAnsi"/>
        </w:rPr>
        <w:t>9</w:t>
      </w:r>
      <w:r w:rsidRPr="005502B3">
        <w:rPr>
          <w:rFonts w:cstheme="minorHAnsi"/>
        </w:rPr>
        <w:t xml:space="preserve"> Nashville metro area population totaled over 670,000 people, representing the 24th largest incorporated city in the United States</w:t>
      </w:r>
      <w:r w:rsidR="004028E2">
        <w:rPr>
          <w:rFonts w:cstheme="minorHAnsi"/>
        </w:rPr>
        <w:t xml:space="preserve"> (</w:t>
      </w:r>
      <w:r w:rsidR="004028E2" w:rsidRPr="004028E2">
        <w:rPr>
          <w:rFonts w:cstheme="minorHAnsi"/>
        </w:rPr>
        <w:t>U.S. Census Bureau</w:t>
      </w:r>
      <w:r w:rsidR="004028E2">
        <w:rPr>
          <w:rFonts w:cstheme="minorHAnsi"/>
        </w:rPr>
        <w:t xml:space="preserve"> 2019)</w:t>
      </w:r>
      <w:r w:rsidRPr="005502B3">
        <w:rPr>
          <w:rFonts w:cstheme="minorHAnsi"/>
        </w:rPr>
        <w:t xml:space="preserve">. </w:t>
      </w:r>
      <w:r w:rsidR="007614B3">
        <w:rPr>
          <w:rFonts w:cstheme="minorHAnsi"/>
        </w:rPr>
        <w:t>Nashville has experience</w:t>
      </w:r>
      <w:r w:rsidR="003F601A">
        <w:rPr>
          <w:rFonts w:cstheme="minorHAnsi"/>
        </w:rPr>
        <w:t>d</w:t>
      </w:r>
      <w:r w:rsidR="007614B3">
        <w:rPr>
          <w:rFonts w:cstheme="minorHAnsi"/>
        </w:rPr>
        <w:t xml:space="preserve"> a </w:t>
      </w:r>
      <w:r w:rsidRPr="005502B3">
        <w:rPr>
          <w:rFonts w:cstheme="minorHAnsi"/>
        </w:rPr>
        <w:t xml:space="preserve"> </w:t>
      </w:r>
      <w:r w:rsidR="000E1503">
        <w:rPr>
          <w:rFonts w:cstheme="minorHAnsi"/>
        </w:rPr>
        <w:t xml:space="preserve">rapid </w:t>
      </w:r>
      <w:r w:rsidRPr="005502B3">
        <w:rPr>
          <w:rFonts w:cstheme="minorHAnsi"/>
        </w:rPr>
        <w:t xml:space="preserve">population growth and </w:t>
      </w:r>
      <w:r w:rsidR="00B825CA">
        <w:rPr>
          <w:rFonts w:cstheme="minorHAnsi"/>
        </w:rPr>
        <w:t>pervasive concerns</w:t>
      </w:r>
      <w:r w:rsidRPr="005502B3">
        <w:rPr>
          <w:rFonts w:cstheme="minorHAnsi"/>
        </w:rPr>
        <w:t xml:space="preserve"> of gentrification</w:t>
      </w:r>
      <w:r w:rsidR="00253D7C">
        <w:rPr>
          <w:rFonts w:cstheme="minorHAnsi"/>
        </w:rPr>
        <w:t xml:space="preserve"> </w:t>
      </w:r>
      <w:r w:rsidRPr="005502B3">
        <w:rPr>
          <w:rFonts w:cstheme="minorHAnsi"/>
        </w:rPr>
        <w:fldChar w:fldCharType="begin"/>
      </w:r>
      <w:r w:rsidRPr="005502B3">
        <w:rPr>
          <w:rFonts w:cstheme="minorHAnsi"/>
        </w:rPr>
        <w:instrText xml:space="preserve"> ADDIN ZOTERO_ITEM CSL_CITATION {"citationID":"L4GKPxmq","properties":{"formattedCitation":"(Haruch, 2014; Larsson, 2017; Plazas, 2017)","plainCitation":"(Haruch, 2014; Larsson, 2017; Plazas, 2017)","noteIndex":0},"citationItems":[{"id":193,"uris":["http://zotero.org/users/local/Cf6g054j/items/C6FQ8CJL"],"uri":["http://zotero.org/users/local/Cf6g054j/items/C6FQ8CJL"],"itemData":{"id":193,"type":"article-journal","title":"High Rises vs. Honky Tonks","container-title":"The New York Times","URL":"https://www.nytimes.com/2014/12/05/opinion/gentrification-is-threatening-nashvilles-soul.html","author":[{"family":"Haruch","given":"Steve"}],"issued":{"date-parts":[["2014",12]]}}},{"id":194,"uris":["http://zotero.org/users/local/Cf6g054j/items/L4NGS2C5"],"uri":["http://zotero.org/users/local/Cf6g054j/items/L4NGS2C5"],"itemData":{"id":194,"type":"article-journal","title":"The Final Bar? How Gentrification Threatens America's Music Cities","container-title":"The Guardian","URL":"https://www.theguardian.com/cities/2017/jul/06/gentrification-america-music-cities-austin-nashville-new-orleans","author":[{"family":"Larsson","given":"Naomi"}],"issued":{"date-parts":[["2017",6]]}}},{"id":579,"uris":["http://zotero.org/users/local/Cf6g054j/items/JEXTYBZ3"],"uri":["http://zotero.org/users/local/Cf6g054j/items/JEXTYBZ3"],"itemData":{"id":579,"type":"article-newspaper","title":"The costs of growth and change in Nashville","container-title":"The Tennessean","abstract":"Metro has long favored progress and development, but people in historically black neighborhoods are being left behind.","URL":"https://www.tennessean.com/story/opinion/columnists/david-plazas/2017/01/29/costs-growth-and-change-nashville/97064252/","language":"en","author":[{"family":"Plazas","given":"David"}],"issued":{"date-parts":[["2017",1,27]]},"accessed":{"date-parts":[["2019",6,15]]}}}],"schema":"https://github.com/citation-style-language/schema/raw/master/csl-citation.json"} </w:instrText>
      </w:r>
      <w:r w:rsidRPr="005502B3">
        <w:rPr>
          <w:rFonts w:cstheme="minorHAnsi"/>
        </w:rPr>
        <w:fldChar w:fldCharType="separate"/>
      </w:r>
      <w:r w:rsidRPr="005502B3">
        <w:rPr>
          <w:rFonts w:cstheme="minorHAnsi"/>
        </w:rPr>
        <w:t>(</w:t>
      </w:r>
      <w:proofErr w:type="spellStart"/>
      <w:r w:rsidRPr="005502B3">
        <w:rPr>
          <w:rFonts w:cstheme="minorHAnsi"/>
        </w:rPr>
        <w:t>Haruch</w:t>
      </w:r>
      <w:proofErr w:type="spellEnd"/>
      <w:r w:rsidRPr="005502B3">
        <w:rPr>
          <w:rFonts w:cstheme="minorHAnsi"/>
        </w:rPr>
        <w:t>, 2014; Larsson, 2017; Plazas, 2017)</w:t>
      </w:r>
      <w:r w:rsidRPr="005502B3">
        <w:rPr>
          <w:rFonts w:cstheme="minorHAnsi"/>
        </w:rPr>
        <w:fldChar w:fldCharType="end"/>
      </w:r>
      <w:r w:rsidRPr="005502B3">
        <w:rPr>
          <w:rFonts w:cstheme="minorHAnsi"/>
        </w:rPr>
        <w:t xml:space="preserve">.  </w:t>
      </w:r>
      <w:r w:rsidR="00B825CA">
        <w:rPr>
          <w:rFonts w:cstheme="minorHAnsi"/>
        </w:rPr>
        <w:t xml:space="preserve">The hazards of </w:t>
      </w:r>
      <w:r w:rsidR="007614B3">
        <w:rPr>
          <w:rFonts w:cstheme="minorHAnsi"/>
        </w:rPr>
        <w:t>g</w:t>
      </w:r>
      <w:r w:rsidR="00253D7C">
        <w:rPr>
          <w:rFonts w:cstheme="minorHAnsi"/>
        </w:rPr>
        <w:t>entrification</w:t>
      </w:r>
      <w:r w:rsidRPr="00E32A5E">
        <w:rPr>
          <w:rFonts w:cstheme="minorHAnsi"/>
        </w:rPr>
        <w:t xml:space="preserve"> </w:t>
      </w:r>
      <w:r w:rsidR="00B825CA">
        <w:rPr>
          <w:rFonts w:cstheme="minorHAnsi"/>
        </w:rPr>
        <w:t>are</w:t>
      </w:r>
      <w:r w:rsidRPr="00E32A5E">
        <w:rPr>
          <w:rFonts w:cstheme="minorHAnsi"/>
        </w:rPr>
        <w:t xml:space="preserve"> </w:t>
      </w:r>
      <w:r w:rsidR="007614B3">
        <w:rPr>
          <w:rFonts w:cstheme="minorHAnsi"/>
        </w:rPr>
        <w:t>chronicled</w:t>
      </w:r>
      <w:r w:rsidRPr="00E32A5E">
        <w:rPr>
          <w:rFonts w:cstheme="minorHAnsi"/>
        </w:rPr>
        <w:t xml:space="preserve"> by David Plazas </w:t>
      </w:r>
      <w:r w:rsidRPr="00E32A5E">
        <w:rPr>
          <w:rFonts w:cstheme="minorHAnsi"/>
        </w:rPr>
        <w:fldChar w:fldCharType="begin"/>
      </w:r>
      <w:r w:rsidRPr="00E32A5E">
        <w:rPr>
          <w:rFonts w:cstheme="minorHAnsi"/>
        </w:rPr>
        <w:instrText xml:space="preserve"> ADDIN ZOTERO_ITEM CSL_CITATION {"citationID":"DAz7dljg","properties":{"formattedCitation":"(2017)","plainCitation":"(2017)","noteIndex":0},"citationItems":[{"id":579,"uris":["http://zotero.org/users/local/Cf6g054j/items/JEXTYBZ3"],"uri":["http://zotero.org/users/local/Cf6g054j/items/JEXTYBZ3"],"itemData":{"id":579,"type":"article-newspaper","title":"The costs of growth and change in Nashville","container-title":"The Tennessean","abstract":"Metro has long favored progress and development, but people in historically black neighborhoods are being left behind.","URL":"https://www.tennessean.com/story/opinion/columnists/david-plazas/2017/01/29/costs-growth-and-change-nashville/97064252/","language":"en","author":[{"family":"Plazas","given":"David"}],"issued":{"date-parts":[["2017",1,27]]},"accessed":{"date-parts":[["2019",6,15]]}},"suppress-author":true}],"schema":"https://github.com/citation-style-language/schema/raw/master/csl-citation.json"} </w:instrText>
      </w:r>
      <w:r w:rsidRPr="00E32A5E">
        <w:rPr>
          <w:rFonts w:cstheme="minorHAnsi"/>
        </w:rPr>
        <w:fldChar w:fldCharType="separate"/>
      </w:r>
      <w:r w:rsidRPr="00E32A5E">
        <w:rPr>
          <w:rFonts w:cstheme="minorHAnsi"/>
        </w:rPr>
        <w:t>(2017)</w:t>
      </w:r>
      <w:r w:rsidRPr="00E32A5E">
        <w:rPr>
          <w:rFonts w:cstheme="minorHAnsi"/>
        </w:rPr>
        <w:fldChar w:fldCharType="end"/>
      </w:r>
      <w:r w:rsidRPr="00E32A5E">
        <w:rPr>
          <w:rFonts w:cstheme="minorHAnsi"/>
        </w:rPr>
        <w:t xml:space="preserve"> </w:t>
      </w:r>
      <w:r w:rsidR="00253D7C">
        <w:rPr>
          <w:rFonts w:cstheme="minorHAnsi"/>
        </w:rPr>
        <w:t>in</w:t>
      </w:r>
      <w:r w:rsidRPr="00E32A5E">
        <w:rPr>
          <w:rFonts w:cstheme="minorHAnsi"/>
        </w:rPr>
        <w:t xml:space="preserve"> the Tennessean newspaper series</w:t>
      </w:r>
      <w:r w:rsidR="00253D7C">
        <w:rPr>
          <w:rFonts w:cstheme="minorHAnsi"/>
        </w:rPr>
        <w:t xml:space="preserve"> </w:t>
      </w:r>
      <w:r w:rsidRPr="00E32A5E">
        <w:rPr>
          <w:rFonts w:cstheme="minorHAnsi"/>
        </w:rPr>
        <w:t>titled “</w:t>
      </w:r>
      <w:r w:rsidRPr="00B825CA">
        <w:rPr>
          <w:rFonts w:cstheme="minorHAnsi"/>
          <w:i/>
          <w:iCs/>
        </w:rPr>
        <w:t>Costs of Growth and Change in Nashville.</w:t>
      </w:r>
      <w:r w:rsidRPr="00E32A5E">
        <w:rPr>
          <w:rFonts w:cstheme="minorHAnsi"/>
        </w:rPr>
        <w:t xml:space="preserve">” Many of Nashville’s longtime citizens </w:t>
      </w:r>
      <w:r w:rsidR="00127444">
        <w:rPr>
          <w:rFonts w:cstheme="minorHAnsi"/>
        </w:rPr>
        <w:t xml:space="preserve">describe </w:t>
      </w:r>
      <w:r w:rsidR="00127444" w:rsidRPr="00E32A5E">
        <w:rPr>
          <w:rFonts w:cstheme="minorHAnsi"/>
        </w:rPr>
        <w:t>financial</w:t>
      </w:r>
      <w:r w:rsidRPr="00E32A5E">
        <w:rPr>
          <w:rFonts w:cstheme="minorHAnsi"/>
        </w:rPr>
        <w:t xml:space="preserve"> pressures amid rising rent and property tax values as well as social isolation as neighborhoods are redeveloped </w:t>
      </w:r>
      <w:r w:rsidR="00A84BC5">
        <w:rPr>
          <w:rFonts w:cstheme="minorHAnsi"/>
        </w:rPr>
        <w:t>for</w:t>
      </w:r>
      <w:r w:rsidR="00A84BC5" w:rsidRPr="00E32A5E">
        <w:rPr>
          <w:rFonts w:cstheme="minorHAnsi"/>
        </w:rPr>
        <w:t xml:space="preserve"> </w:t>
      </w:r>
      <w:r w:rsidRPr="00E32A5E">
        <w:rPr>
          <w:rFonts w:cstheme="minorHAnsi"/>
        </w:rPr>
        <w:t xml:space="preserve">a </w:t>
      </w:r>
      <w:r w:rsidR="00F30B56">
        <w:rPr>
          <w:rFonts w:cstheme="minorHAnsi"/>
        </w:rPr>
        <w:t>more expensive clientele. Plaza</w:t>
      </w:r>
      <w:r w:rsidRPr="00E32A5E">
        <w:rPr>
          <w:rFonts w:cstheme="minorHAnsi"/>
        </w:rPr>
        <w:t xml:space="preserve">s </w:t>
      </w:r>
      <w:r w:rsidR="00A84BC5">
        <w:rPr>
          <w:rFonts w:cstheme="minorHAnsi"/>
        </w:rPr>
        <w:t>identifie</w:t>
      </w:r>
      <w:r w:rsidR="003F601A">
        <w:rPr>
          <w:rFonts w:cstheme="minorHAnsi"/>
        </w:rPr>
        <w:t>d</w:t>
      </w:r>
      <w:r w:rsidR="00A84BC5" w:rsidRPr="00E32A5E">
        <w:rPr>
          <w:rFonts w:cstheme="minorHAnsi"/>
        </w:rPr>
        <w:t xml:space="preserve"> </w:t>
      </w:r>
      <w:r w:rsidRPr="00E32A5E">
        <w:rPr>
          <w:rFonts w:cstheme="minorHAnsi"/>
        </w:rPr>
        <w:t>the inequality and community concerns amid Nashville’s growth, writing “</w:t>
      </w:r>
      <w:r w:rsidRPr="00253D7C">
        <w:rPr>
          <w:rFonts w:cstheme="minorHAnsi"/>
          <w:i/>
          <w:iCs/>
        </w:rPr>
        <w:t>African Americans have been hit exponentially hard in Nashville.</w:t>
      </w:r>
      <w:r w:rsidRPr="00E32A5E">
        <w:rPr>
          <w:rFonts w:cstheme="minorHAnsi"/>
        </w:rPr>
        <w:t>” He also cites the changing socio-economic geography amid gentrification: “</w:t>
      </w:r>
      <w:r w:rsidRPr="00253D7C">
        <w:rPr>
          <w:rFonts w:cstheme="minorHAnsi"/>
          <w:i/>
          <w:iCs/>
        </w:rPr>
        <w:t>The segregated areas where</w:t>
      </w:r>
      <w:r w:rsidRPr="00E32A5E">
        <w:rPr>
          <w:rFonts w:cstheme="minorHAnsi"/>
        </w:rPr>
        <w:t xml:space="preserve"> [African Americans] </w:t>
      </w:r>
      <w:r w:rsidRPr="00253D7C">
        <w:rPr>
          <w:rFonts w:cstheme="minorHAnsi"/>
          <w:i/>
          <w:iCs/>
        </w:rPr>
        <w:t>once lived around the urban core, like East Nashville, Germantown, and Edgehill, have now become high-rent, whiter communities</w:t>
      </w:r>
      <w:r w:rsidRPr="00E32A5E">
        <w:rPr>
          <w:rFonts w:cstheme="minorHAnsi"/>
        </w:rPr>
        <w:t xml:space="preserve">” </w:t>
      </w:r>
      <w:r w:rsidRPr="00E32A5E">
        <w:rPr>
          <w:rFonts w:cstheme="minorHAnsi"/>
        </w:rPr>
        <w:fldChar w:fldCharType="begin"/>
      </w:r>
      <w:r w:rsidRPr="00E32A5E">
        <w:rPr>
          <w:rFonts w:cstheme="minorHAnsi"/>
        </w:rPr>
        <w:instrText xml:space="preserve"> ADDIN ZOTERO_ITEM CSL_CITATION {"citationID":"kQIUIAxR","properties":{"formattedCitation":"(Plazas, 2017)","plainCitation":"(Plazas, 2017)","noteIndex":0},"citationItems":[{"id":579,"uris":["http://zotero.org/users/local/Cf6g054j/items/JEXTYBZ3"],"uri":["http://zotero.org/users/local/Cf6g054j/items/JEXTYBZ3"],"itemData":{"id":579,"type":"article-newspaper","title":"The costs of growth and change in Nashville","container-title":"The Tennessean","abstract":"Metro has long favored progress and development, but people in historically black neighborhoods are being left behind.","URL":"https://www.tennessean.com/story/opinion/columnists/david-plazas/2017/01/29/costs-growth-and-change-nashville/97064252/","language":"en","author":[{"family":"Plazas","given":"David"}],"issued":{"date-parts":[["2017",1,27]]},"accessed":{"date-parts":[["2019",6,15]]}}}],"schema":"https://github.com/citation-style-language/schema/raw/master/csl-citation.json"} </w:instrText>
      </w:r>
      <w:r w:rsidRPr="00E32A5E">
        <w:rPr>
          <w:rFonts w:cstheme="minorHAnsi"/>
        </w:rPr>
        <w:fldChar w:fldCharType="separate"/>
      </w:r>
      <w:r w:rsidRPr="00E32A5E">
        <w:rPr>
          <w:rFonts w:cstheme="minorHAnsi"/>
        </w:rPr>
        <w:t>(Plazas, 2017)</w:t>
      </w:r>
      <w:r w:rsidRPr="00E32A5E">
        <w:rPr>
          <w:rFonts w:cstheme="minorHAnsi"/>
        </w:rPr>
        <w:fldChar w:fldCharType="end"/>
      </w:r>
      <w:r w:rsidRPr="00E32A5E">
        <w:rPr>
          <w:rFonts w:cstheme="minorHAnsi"/>
        </w:rPr>
        <w:t>.</w:t>
      </w:r>
      <w:r w:rsidR="00F30B56">
        <w:rPr>
          <w:rFonts w:cstheme="minorHAnsi"/>
        </w:rPr>
        <w:t xml:space="preserve"> </w:t>
      </w:r>
      <w:r w:rsidR="00B825CA">
        <w:rPr>
          <w:rFonts w:ascii="Calibri" w:hAnsi="Calibri" w:cs="Calibri"/>
          <w:color w:val="000000"/>
        </w:rPr>
        <w:t>It is</w:t>
      </w:r>
      <w:r w:rsidR="003F601A">
        <w:rPr>
          <w:rFonts w:ascii="Calibri" w:hAnsi="Calibri" w:cs="Calibri"/>
          <w:color w:val="000000"/>
        </w:rPr>
        <w:t xml:space="preserve"> within </w:t>
      </w:r>
      <w:r w:rsidR="00BF5C6C">
        <w:rPr>
          <w:rFonts w:ascii="Calibri" w:hAnsi="Calibri" w:cs="Calibri"/>
          <w:color w:val="000000"/>
        </w:rPr>
        <w:t>these contexts that we</w:t>
      </w:r>
      <w:r w:rsidR="00400B7C" w:rsidRPr="00400B7C">
        <w:rPr>
          <w:rFonts w:ascii="Calibri" w:hAnsi="Calibri" w:cs="Calibri"/>
          <w:color w:val="000000"/>
        </w:rPr>
        <w:t xml:space="preserve"> </w:t>
      </w:r>
      <w:r w:rsidR="000E1503">
        <w:rPr>
          <w:rFonts w:ascii="Calibri" w:hAnsi="Calibri" w:cs="Calibri"/>
          <w:color w:val="000000"/>
        </w:rPr>
        <w:t>apply ou</w:t>
      </w:r>
      <w:r w:rsidR="003F601A">
        <w:rPr>
          <w:rFonts w:ascii="Calibri" w:hAnsi="Calibri" w:cs="Calibri"/>
          <w:color w:val="000000"/>
        </w:rPr>
        <w:t>r</w:t>
      </w:r>
      <w:r w:rsidR="00400B7C" w:rsidRPr="00400B7C">
        <w:rPr>
          <w:rFonts w:ascii="Calibri" w:hAnsi="Calibri" w:cs="Calibri"/>
          <w:color w:val="000000"/>
        </w:rPr>
        <w:t xml:space="preserve"> clustering </w:t>
      </w:r>
      <w:r w:rsidR="003F601A">
        <w:rPr>
          <w:rFonts w:ascii="Calibri" w:hAnsi="Calibri" w:cs="Calibri"/>
          <w:color w:val="000000"/>
        </w:rPr>
        <w:t xml:space="preserve">framework to </w:t>
      </w:r>
      <w:r w:rsidR="000E1503">
        <w:rPr>
          <w:rFonts w:ascii="Calibri" w:hAnsi="Calibri" w:cs="Calibri"/>
          <w:color w:val="000000"/>
        </w:rPr>
        <w:t xml:space="preserve">fingerprint the dominant types of </w:t>
      </w:r>
      <w:proofErr w:type="gramStart"/>
      <w:r w:rsidR="000E1503">
        <w:rPr>
          <w:rFonts w:ascii="Calibri" w:hAnsi="Calibri" w:cs="Calibri"/>
          <w:color w:val="000000"/>
        </w:rPr>
        <w:t>neighborhood</w:t>
      </w:r>
      <w:proofErr w:type="gramEnd"/>
      <w:r w:rsidR="000E1503">
        <w:rPr>
          <w:rFonts w:ascii="Calibri" w:hAnsi="Calibri" w:cs="Calibri"/>
          <w:color w:val="000000"/>
        </w:rPr>
        <w:t xml:space="preserve"> change in</w:t>
      </w:r>
      <w:r w:rsidR="00BF5C6C">
        <w:rPr>
          <w:rFonts w:ascii="Calibri" w:hAnsi="Calibri" w:cs="Calibri"/>
          <w:color w:val="000000"/>
        </w:rPr>
        <w:t xml:space="preserve"> </w:t>
      </w:r>
      <w:r w:rsidR="00400B7C" w:rsidRPr="00400B7C">
        <w:rPr>
          <w:rFonts w:ascii="Calibri" w:hAnsi="Calibri" w:cs="Calibri"/>
          <w:color w:val="000000"/>
        </w:rPr>
        <w:t>Nashville</w:t>
      </w:r>
      <w:r w:rsidR="00BF5C6C">
        <w:rPr>
          <w:rFonts w:ascii="Calibri" w:hAnsi="Calibri" w:cs="Calibri"/>
          <w:color w:val="000000"/>
        </w:rPr>
        <w:t>, Tennessee</w:t>
      </w:r>
      <w:r w:rsidR="003F601A">
        <w:rPr>
          <w:rFonts w:ascii="Calibri" w:hAnsi="Calibri" w:cs="Calibri"/>
          <w:color w:val="000000"/>
        </w:rPr>
        <w:t xml:space="preserve">. </w:t>
      </w:r>
    </w:p>
    <w:p w14:paraId="6C74BAC3" w14:textId="77777777" w:rsidR="00DB172D" w:rsidRDefault="00DB172D" w:rsidP="00525903">
      <w:pPr>
        <w:autoSpaceDE w:val="0"/>
        <w:autoSpaceDN w:val="0"/>
        <w:adjustRightInd w:val="0"/>
        <w:spacing w:after="0" w:line="240" w:lineRule="auto"/>
        <w:ind w:firstLine="541"/>
      </w:pPr>
    </w:p>
    <w:p w14:paraId="48E42872" w14:textId="1C12227A" w:rsidR="00DB172D" w:rsidRDefault="00DB172D" w:rsidP="00DB172D">
      <w:pPr>
        <w:ind w:firstLine="720"/>
        <w:rPr>
          <w:rFonts w:cstheme="minorHAnsi"/>
        </w:rPr>
      </w:pPr>
      <w:r>
        <w:rPr>
          <w:rFonts w:cstheme="minorHAnsi"/>
        </w:rPr>
        <w:t xml:space="preserve">While this analysis is specific to </w:t>
      </w:r>
      <w:r w:rsidRPr="00BE37B5">
        <w:rPr>
          <w:rFonts w:cstheme="minorHAnsi"/>
        </w:rPr>
        <w:t>Nashville</w:t>
      </w:r>
      <w:r>
        <w:rPr>
          <w:rFonts w:cstheme="minorHAnsi"/>
        </w:rPr>
        <w:t xml:space="preserve">, its methodology accommodates the changing faces and stages of neighborhood change in </w:t>
      </w:r>
      <w:r w:rsidR="00DE44C1">
        <w:rPr>
          <w:rFonts w:cstheme="minorHAnsi"/>
        </w:rPr>
        <w:t xml:space="preserve">different </w:t>
      </w:r>
      <w:r>
        <w:rPr>
          <w:rFonts w:cstheme="minorHAnsi"/>
        </w:rPr>
        <w:t>cit</w:t>
      </w:r>
      <w:r w:rsidR="00DE44C1">
        <w:rPr>
          <w:rFonts w:cstheme="minorHAnsi"/>
        </w:rPr>
        <w:t>ies</w:t>
      </w:r>
      <w:r>
        <w:rPr>
          <w:rFonts w:cstheme="minorHAnsi"/>
        </w:rPr>
        <w:t xml:space="preserve">. </w:t>
      </w:r>
      <w:r w:rsidRPr="00BE37B5">
        <w:rPr>
          <w:rFonts w:cstheme="minorHAnsi"/>
        </w:rPr>
        <w:t xml:space="preserve"> </w:t>
      </w:r>
      <w:r>
        <w:rPr>
          <w:rFonts w:cstheme="minorHAnsi"/>
        </w:rPr>
        <w:t xml:space="preserve">As </w:t>
      </w:r>
      <w:r w:rsidRPr="00BE37B5">
        <w:rPr>
          <w:rFonts w:cstheme="minorHAnsi"/>
        </w:rPr>
        <w:t xml:space="preserve">Shaw </w:t>
      </w:r>
      <w:r w:rsidRPr="00BE37B5">
        <w:rPr>
          <w:rFonts w:cstheme="minorHAnsi"/>
        </w:rPr>
        <w:fldChar w:fldCharType="begin"/>
      </w:r>
      <w:r w:rsidRPr="00BE37B5">
        <w:rPr>
          <w:rFonts w:cstheme="minorHAnsi"/>
        </w:rPr>
        <w:instrText xml:space="preserve"> ADDIN ZOTERO_ITEM CSL_CITATION {"citationID":"Fq6nOrv5","properties":{"formattedCitation":"(2005)","plainCitation":"(2005)","noteIndex":0},"citationItems":[{"id":581,"uris":["http://zotero.org/users/local/Cf6g054j/items/X84VZWSI"],"uri":["http://zotero.org/users/local/Cf6g054j/items/X84VZWSI"],"itemData":{"id":581,"type":"book","title":"Local limits to Gentrification: implications for a new urban policy","publisher":"Routledge","source":"minerva-access.unimelb.edu.au","abstract":"B1 - Research Book Chapters","URL":"http://minerva-access.unimelb.edu.au/handle/11343/26079","ISBN":"978-0-415-32950-7","title-short":"Local limits to Gentrification","language":"en","author":[{"family":"Shaw","given":"Kate"}],"issued":{"date-parts":[["2005"]]},"accessed":{"date-parts":[["2019",6,15]]}},"suppress-author":true}],"schema":"https://github.com/citation-style-language/schema/raw/master/csl-citation.json"} </w:instrText>
      </w:r>
      <w:r w:rsidRPr="00BE37B5">
        <w:rPr>
          <w:rFonts w:cstheme="minorHAnsi"/>
        </w:rPr>
        <w:fldChar w:fldCharType="separate"/>
      </w:r>
      <w:r w:rsidRPr="00BE37B5">
        <w:rPr>
          <w:rFonts w:cstheme="minorHAnsi"/>
        </w:rPr>
        <w:t>(2005)</w:t>
      </w:r>
      <w:r w:rsidRPr="00BE37B5">
        <w:rPr>
          <w:rFonts w:cstheme="minorHAnsi"/>
        </w:rPr>
        <w:fldChar w:fldCharType="end"/>
      </w:r>
      <w:r w:rsidRPr="00BE37B5">
        <w:rPr>
          <w:rFonts w:cstheme="minorHAnsi"/>
        </w:rPr>
        <w:t xml:space="preserve"> notes</w:t>
      </w:r>
      <w:r>
        <w:rPr>
          <w:rFonts w:cstheme="minorHAnsi"/>
        </w:rPr>
        <w:t xml:space="preserve">, </w:t>
      </w:r>
      <w:r w:rsidRPr="00BE37B5">
        <w:rPr>
          <w:rFonts w:cstheme="minorHAnsi"/>
        </w:rPr>
        <w:t xml:space="preserve"> gentrification “</w:t>
      </w:r>
      <w:r w:rsidRPr="00AD3FC0">
        <w:rPr>
          <w:rFonts w:cstheme="minorHAnsi"/>
          <w:i/>
          <w:iCs/>
        </w:rPr>
        <w:t>plays out differently in different places and the process is deeply affected by the local context.</w:t>
      </w:r>
      <w:r w:rsidRPr="00BE37B5">
        <w:rPr>
          <w:rFonts w:cstheme="minorHAnsi"/>
        </w:rPr>
        <w:t>” A</w:t>
      </w:r>
      <w:r>
        <w:rPr>
          <w:rFonts w:cstheme="minorHAnsi"/>
        </w:rPr>
        <w:t>ccordingly,</w:t>
      </w:r>
      <w:r w:rsidRPr="00BE37B5">
        <w:rPr>
          <w:rFonts w:cstheme="minorHAnsi"/>
        </w:rPr>
        <w:t xml:space="preserve"> we expect </w:t>
      </w:r>
      <w:r>
        <w:rPr>
          <w:rFonts w:cstheme="minorHAnsi"/>
        </w:rPr>
        <w:t xml:space="preserve">neighborhood change in </w:t>
      </w:r>
      <w:r w:rsidRPr="00BE37B5">
        <w:rPr>
          <w:rFonts w:cstheme="minorHAnsi"/>
        </w:rPr>
        <w:t xml:space="preserve">Nashville, New York, San Francisco, </w:t>
      </w:r>
      <w:r>
        <w:rPr>
          <w:rFonts w:cstheme="minorHAnsi"/>
        </w:rPr>
        <w:t>and</w:t>
      </w:r>
      <w:r w:rsidRPr="00BE37B5">
        <w:rPr>
          <w:rFonts w:cstheme="minorHAnsi"/>
        </w:rPr>
        <w:t xml:space="preserve"> Atlanta</w:t>
      </w:r>
      <w:r>
        <w:rPr>
          <w:rFonts w:cstheme="minorHAnsi"/>
        </w:rPr>
        <w:t xml:space="preserve"> </w:t>
      </w:r>
      <w:r w:rsidRPr="00BE37B5">
        <w:rPr>
          <w:rFonts w:cstheme="minorHAnsi"/>
        </w:rPr>
        <w:t>to</w:t>
      </w:r>
      <w:r>
        <w:rPr>
          <w:rFonts w:cstheme="minorHAnsi"/>
        </w:rPr>
        <w:t xml:space="preserve"> display different characteristics,</w:t>
      </w:r>
      <w:r w:rsidRPr="00BE37B5">
        <w:rPr>
          <w:rFonts w:cstheme="minorHAnsi"/>
        </w:rPr>
        <w:t xml:space="preserve"> </w:t>
      </w:r>
      <w:r>
        <w:rPr>
          <w:rFonts w:cstheme="minorHAnsi"/>
        </w:rPr>
        <w:t>advance at</w:t>
      </w:r>
      <w:r w:rsidRPr="00BE37B5">
        <w:rPr>
          <w:rFonts w:cstheme="minorHAnsi"/>
        </w:rPr>
        <w:t xml:space="preserve"> different paces,</w:t>
      </w:r>
      <w:r>
        <w:rPr>
          <w:rFonts w:cstheme="minorHAnsi"/>
        </w:rPr>
        <w:t xml:space="preserve"> and reveal different spatial extents</w:t>
      </w:r>
      <w:r w:rsidRPr="00BE37B5">
        <w:rPr>
          <w:rFonts w:cstheme="minorHAnsi"/>
        </w:rPr>
        <w:t>.</w:t>
      </w:r>
      <w:r>
        <w:rPr>
          <w:rFonts w:cstheme="minorHAnsi"/>
        </w:rPr>
        <w:t xml:space="preserve"> The clustering method advanced here </w:t>
      </w:r>
      <w:r w:rsidRPr="00BE37B5">
        <w:rPr>
          <w:rFonts w:cstheme="minorHAnsi"/>
        </w:rPr>
        <w:t>afford</w:t>
      </w:r>
      <w:r>
        <w:rPr>
          <w:rFonts w:cstheme="minorHAnsi"/>
        </w:rPr>
        <w:t>s</w:t>
      </w:r>
      <w:r w:rsidRPr="00BE37B5">
        <w:rPr>
          <w:rFonts w:cstheme="minorHAnsi"/>
        </w:rPr>
        <w:t xml:space="preserve"> </w:t>
      </w:r>
      <w:r>
        <w:rPr>
          <w:rFonts w:cstheme="minorHAnsi"/>
        </w:rPr>
        <w:t xml:space="preserve">these </w:t>
      </w:r>
      <w:r w:rsidRPr="00BE37B5">
        <w:rPr>
          <w:rFonts w:cstheme="minorHAnsi"/>
        </w:rPr>
        <w:t>contextual differences while allowing fo</w:t>
      </w:r>
      <w:r>
        <w:rPr>
          <w:rFonts w:cstheme="minorHAnsi"/>
        </w:rPr>
        <w:t>r the cross-comparison of different city’s</w:t>
      </w:r>
      <w:r w:rsidRPr="00BE37B5">
        <w:rPr>
          <w:rFonts w:cstheme="minorHAnsi"/>
        </w:rPr>
        <w:t xml:space="preserve"> </w:t>
      </w:r>
      <w:r>
        <w:rPr>
          <w:rFonts w:cstheme="minorHAnsi"/>
        </w:rPr>
        <w:t>neighborhood change fingerprints</w:t>
      </w:r>
      <w:r w:rsidRPr="00BE37B5">
        <w:rPr>
          <w:rFonts w:cstheme="minorHAnsi"/>
        </w:rPr>
        <w:t>. This transparent, city-specific</w:t>
      </w:r>
      <w:r>
        <w:rPr>
          <w:rFonts w:cstheme="minorHAnsi"/>
        </w:rPr>
        <w:t xml:space="preserve">, and </w:t>
      </w:r>
      <w:r w:rsidRPr="00BE37B5">
        <w:rPr>
          <w:rFonts w:cstheme="minorHAnsi"/>
        </w:rPr>
        <w:t xml:space="preserve">quantitative definition for </w:t>
      </w:r>
      <w:r w:rsidRPr="00BE37B5">
        <w:rPr>
          <w:rFonts w:cstheme="minorHAnsi"/>
        </w:rPr>
        <w:lastRenderedPageBreak/>
        <w:t xml:space="preserve">gentrification </w:t>
      </w:r>
      <w:r w:rsidR="00142390">
        <w:rPr>
          <w:rFonts w:cstheme="minorHAnsi"/>
        </w:rPr>
        <w:t>avoids many of the biases associated with</w:t>
      </w:r>
      <w:r w:rsidR="00142390">
        <w:rPr>
          <w:rFonts w:cstheme="minorHAnsi"/>
        </w:rPr>
        <w:t xml:space="preserve"> </w:t>
      </w:r>
      <w:r w:rsidRPr="00BE37B5">
        <w:rPr>
          <w:rFonts w:cstheme="minorHAnsi"/>
        </w:rPr>
        <w:t xml:space="preserve">the </w:t>
      </w:r>
      <w:r w:rsidR="00142390">
        <w:rPr>
          <w:rFonts w:cstheme="minorHAnsi"/>
        </w:rPr>
        <w:t>threshold</w:t>
      </w:r>
      <w:r w:rsidR="00142390" w:rsidRPr="00BE37B5">
        <w:rPr>
          <w:rFonts w:cstheme="minorHAnsi"/>
        </w:rPr>
        <w:t xml:space="preserve"> </w:t>
      </w:r>
      <w:r w:rsidRPr="00BE37B5">
        <w:rPr>
          <w:rFonts w:cstheme="minorHAnsi"/>
        </w:rPr>
        <w:t xml:space="preserve">frameworks </w:t>
      </w:r>
      <w:r w:rsidR="00142390">
        <w:rPr>
          <w:rFonts w:cstheme="minorHAnsi"/>
        </w:rPr>
        <w:t>used to identify gentrification.</w:t>
      </w:r>
    </w:p>
    <w:p w14:paraId="68A99EBC" w14:textId="77777777" w:rsidR="003275A3" w:rsidRPr="00BF5C6C" w:rsidRDefault="003275A3" w:rsidP="00BF5C6C">
      <w:pPr>
        <w:autoSpaceDE w:val="0"/>
        <w:autoSpaceDN w:val="0"/>
        <w:adjustRightInd w:val="0"/>
        <w:spacing w:after="0" w:line="240" w:lineRule="auto"/>
        <w:ind w:firstLine="541"/>
        <w:rPr>
          <w:rFonts w:ascii="Calibri" w:hAnsi="Calibri" w:cs="Calibri"/>
          <w:color w:val="000000"/>
        </w:rPr>
      </w:pPr>
    </w:p>
    <w:p w14:paraId="08CC6701" w14:textId="77777777" w:rsidR="00A028E4" w:rsidRPr="00677BB2" w:rsidRDefault="00A028E4" w:rsidP="00B21B78">
      <w:pPr>
        <w:pStyle w:val="Heading1"/>
      </w:pPr>
      <w:r>
        <w:t>Methods</w:t>
      </w:r>
    </w:p>
    <w:p w14:paraId="24985254" w14:textId="6697B65F" w:rsidR="00677BB2" w:rsidRDefault="003F601A" w:rsidP="00F30B56">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Our</w:t>
      </w:r>
      <w:r w:rsidR="00677BB2" w:rsidRPr="00677BB2">
        <w:rPr>
          <w:rFonts w:ascii="Calibri" w:hAnsi="Calibri" w:cs="Calibri"/>
          <w:color w:val="000000"/>
        </w:rPr>
        <w:t xml:space="preserve"> </w:t>
      </w:r>
      <w:r>
        <w:rPr>
          <w:rFonts w:ascii="Calibri" w:hAnsi="Calibri" w:cs="Calibri"/>
          <w:color w:val="000000"/>
        </w:rPr>
        <w:t xml:space="preserve">clustering </w:t>
      </w:r>
      <w:r w:rsidR="00677BB2" w:rsidRPr="00677BB2">
        <w:rPr>
          <w:rFonts w:ascii="Calibri" w:hAnsi="Calibri" w:cs="Calibri"/>
          <w:color w:val="000000"/>
        </w:rPr>
        <w:t>methodology</w:t>
      </w:r>
      <w:r>
        <w:rPr>
          <w:rFonts w:ascii="Calibri" w:hAnsi="Calibri" w:cs="Calibri"/>
          <w:color w:val="000000"/>
        </w:rPr>
        <w:t xml:space="preserve"> </w:t>
      </w:r>
      <w:r w:rsidR="00196128">
        <w:rPr>
          <w:rFonts w:ascii="Calibri" w:hAnsi="Calibri" w:cs="Calibri"/>
          <w:color w:val="000000"/>
        </w:rPr>
        <w:t>uses</w:t>
      </w:r>
      <w:r w:rsidR="00677BB2" w:rsidRPr="00677BB2">
        <w:rPr>
          <w:rFonts w:ascii="Calibri" w:hAnsi="Calibri" w:cs="Calibri"/>
          <w:color w:val="000000"/>
        </w:rPr>
        <w:t xml:space="preserve"> six</w:t>
      </w:r>
      <w:r>
        <w:rPr>
          <w:rFonts w:ascii="Calibri" w:hAnsi="Calibri" w:cs="Calibri"/>
          <w:color w:val="000000"/>
        </w:rPr>
        <w:t xml:space="preserve"> </w:t>
      </w:r>
      <w:r w:rsidR="00F30B56">
        <w:rPr>
          <w:rFonts w:ascii="Calibri" w:hAnsi="Calibri" w:cs="Calibri"/>
          <w:color w:val="000000"/>
        </w:rPr>
        <w:t>U</w:t>
      </w:r>
      <w:r w:rsidR="00A84BC5">
        <w:rPr>
          <w:rFonts w:ascii="Calibri" w:hAnsi="Calibri" w:cs="Calibri"/>
          <w:color w:val="000000"/>
        </w:rPr>
        <w:t>.</w:t>
      </w:r>
      <w:r w:rsidR="00F30B56">
        <w:rPr>
          <w:rFonts w:ascii="Calibri" w:hAnsi="Calibri" w:cs="Calibri"/>
          <w:color w:val="000000"/>
        </w:rPr>
        <w:t>S</w:t>
      </w:r>
      <w:r w:rsidR="00A84BC5">
        <w:rPr>
          <w:rFonts w:ascii="Calibri" w:hAnsi="Calibri" w:cs="Calibri"/>
          <w:color w:val="000000"/>
        </w:rPr>
        <w:t>.</w:t>
      </w:r>
      <w:r w:rsidR="00F30B56">
        <w:rPr>
          <w:rFonts w:ascii="Calibri" w:hAnsi="Calibri" w:cs="Calibri"/>
          <w:color w:val="000000"/>
        </w:rPr>
        <w:t xml:space="preserve"> </w:t>
      </w:r>
      <w:r w:rsidR="00A84BC5">
        <w:rPr>
          <w:rFonts w:ascii="Calibri" w:hAnsi="Calibri" w:cs="Calibri"/>
          <w:color w:val="000000"/>
        </w:rPr>
        <w:t>C</w:t>
      </w:r>
      <w:r w:rsidR="00677BB2" w:rsidRPr="00677BB2">
        <w:rPr>
          <w:rFonts w:ascii="Calibri" w:hAnsi="Calibri" w:cs="Calibri"/>
          <w:color w:val="000000"/>
        </w:rPr>
        <w:t>ensus variables</w:t>
      </w:r>
      <w:r>
        <w:rPr>
          <w:rFonts w:ascii="Calibri" w:hAnsi="Calibri" w:cs="Calibri"/>
          <w:color w:val="000000"/>
        </w:rPr>
        <w:t xml:space="preserve"> </w:t>
      </w:r>
      <w:r w:rsidR="00196128">
        <w:rPr>
          <w:rFonts w:ascii="Calibri" w:hAnsi="Calibri" w:cs="Calibri"/>
          <w:color w:val="000000"/>
        </w:rPr>
        <w:t xml:space="preserve">to </w:t>
      </w:r>
      <w:r>
        <w:rPr>
          <w:rFonts w:ascii="Calibri" w:hAnsi="Calibri" w:cs="Calibri"/>
          <w:color w:val="000000"/>
        </w:rPr>
        <w:t>captur</w:t>
      </w:r>
      <w:r w:rsidR="00196128">
        <w:rPr>
          <w:rFonts w:ascii="Calibri" w:hAnsi="Calibri" w:cs="Calibri"/>
          <w:color w:val="000000"/>
        </w:rPr>
        <w:t>e</w:t>
      </w:r>
      <w:r>
        <w:rPr>
          <w:rFonts w:ascii="Calibri" w:hAnsi="Calibri" w:cs="Calibri"/>
          <w:color w:val="000000"/>
        </w:rPr>
        <w:t xml:space="preserve"> fundamental aspects of neighborhood change</w:t>
      </w:r>
      <w:r w:rsidR="000E1503">
        <w:rPr>
          <w:rFonts w:ascii="Calibri" w:hAnsi="Calibri" w:cs="Calibri"/>
          <w:color w:val="000000"/>
        </w:rPr>
        <w:t xml:space="preserve">: </w:t>
      </w:r>
      <w:r w:rsidR="00677BB2" w:rsidRPr="00677BB2">
        <w:rPr>
          <w:rFonts w:ascii="Calibri" w:hAnsi="Calibri" w:cs="Calibri"/>
          <w:color w:val="000000"/>
        </w:rPr>
        <w:t>rent value, home value</w:t>
      </w:r>
      <w:r w:rsidR="00B825CA">
        <w:rPr>
          <w:rStyle w:val="FootnoteReference"/>
          <w:rFonts w:ascii="Calibri" w:hAnsi="Calibri" w:cs="Calibri"/>
          <w:color w:val="000000"/>
        </w:rPr>
        <w:footnoteReference w:id="6"/>
      </w:r>
      <w:r w:rsidR="00677BB2" w:rsidRPr="00677BB2">
        <w:rPr>
          <w:rFonts w:ascii="Calibri" w:hAnsi="Calibri" w:cs="Calibri"/>
          <w:color w:val="000000"/>
        </w:rPr>
        <w:t>, income, race, educational attainment, and percentage of multi-unit buildings</w:t>
      </w:r>
      <w:r w:rsidR="00127444">
        <w:rPr>
          <w:rFonts w:ascii="Calibri" w:hAnsi="Calibri" w:cs="Calibri"/>
          <w:color w:val="000000"/>
        </w:rPr>
        <w:t xml:space="preserve"> (Table 2)</w:t>
      </w:r>
      <w:r w:rsidR="000E1503">
        <w:rPr>
          <w:rFonts w:ascii="Calibri" w:hAnsi="Calibri" w:cs="Calibri"/>
          <w:color w:val="000000"/>
        </w:rPr>
        <w:t xml:space="preserve">. </w:t>
      </w:r>
      <w:r w:rsidR="00F5789A">
        <w:rPr>
          <w:rFonts w:ascii="Calibri" w:hAnsi="Calibri" w:cs="Calibri"/>
          <w:color w:val="000000"/>
        </w:rPr>
        <w:t xml:space="preserve"> The proportion of multi-unit dwellings, as well as h</w:t>
      </w:r>
      <w:r w:rsidR="00196128" w:rsidRPr="00677BB2">
        <w:rPr>
          <w:rFonts w:ascii="Calibri" w:hAnsi="Calibri" w:cs="Calibri"/>
          <w:color w:val="000000"/>
        </w:rPr>
        <w:t xml:space="preserve">ome and rent values </w:t>
      </w:r>
      <w:r w:rsidR="00F5789A">
        <w:rPr>
          <w:rFonts w:ascii="Calibri" w:hAnsi="Calibri" w:cs="Calibri"/>
          <w:color w:val="000000"/>
        </w:rPr>
        <w:t>describe</w:t>
      </w:r>
      <w:r w:rsidR="00196128" w:rsidRPr="00677BB2">
        <w:rPr>
          <w:rFonts w:ascii="Calibri" w:hAnsi="Calibri" w:cs="Calibri"/>
          <w:color w:val="000000"/>
        </w:rPr>
        <w:t xml:space="preserve"> investment and disinvestment</w:t>
      </w:r>
      <w:r w:rsidR="00547648">
        <w:rPr>
          <w:rFonts w:ascii="Calibri" w:hAnsi="Calibri" w:cs="Calibri"/>
          <w:color w:val="000000"/>
        </w:rPr>
        <w:t xml:space="preserve"> </w:t>
      </w:r>
      <w:r w:rsidR="00525903">
        <w:rPr>
          <w:rFonts w:ascii="Calibri" w:hAnsi="Calibri" w:cs="Calibri"/>
          <w:color w:val="000000"/>
        </w:rPr>
        <w:t>patterns</w:t>
      </w:r>
      <w:r w:rsidR="00196128">
        <w:rPr>
          <w:rFonts w:ascii="Calibri" w:hAnsi="Calibri" w:cs="Calibri"/>
          <w:color w:val="000000"/>
        </w:rPr>
        <w:t xml:space="preserve"> </w:t>
      </w:r>
      <w:r w:rsidR="00F5789A">
        <w:rPr>
          <w:rFonts w:ascii="Calibri" w:hAnsi="Calibri" w:cs="Calibri"/>
          <w:color w:val="000000"/>
        </w:rPr>
        <w:t>with</w:t>
      </w:r>
      <w:r w:rsidR="00196128">
        <w:rPr>
          <w:rFonts w:ascii="Calibri" w:hAnsi="Calibri" w:cs="Calibri"/>
          <w:color w:val="000000"/>
        </w:rPr>
        <w:t>in the built environment</w:t>
      </w:r>
      <w:r w:rsidR="00196128" w:rsidRPr="00677BB2">
        <w:rPr>
          <w:rFonts w:ascii="Calibri" w:hAnsi="Calibri" w:cs="Calibri"/>
          <w:color w:val="000000"/>
        </w:rPr>
        <w:t>.</w:t>
      </w:r>
      <w:r w:rsidR="00196128">
        <w:rPr>
          <w:rFonts w:ascii="Calibri" w:hAnsi="Calibri" w:cs="Calibri"/>
          <w:color w:val="000000"/>
        </w:rPr>
        <w:t xml:space="preserve"> </w:t>
      </w:r>
      <w:r w:rsidR="00677BB2" w:rsidRPr="00677BB2">
        <w:rPr>
          <w:rFonts w:ascii="Calibri" w:hAnsi="Calibri" w:cs="Calibri"/>
          <w:color w:val="000000"/>
        </w:rPr>
        <w:t xml:space="preserve">Income, race, and educational attainment changes are included to </w:t>
      </w:r>
      <w:r w:rsidR="00711D5B">
        <w:rPr>
          <w:rFonts w:ascii="Calibri" w:hAnsi="Calibri" w:cs="Calibri"/>
          <w:color w:val="000000"/>
        </w:rPr>
        <w:t>signal changes to</w:t>
      </w:r>
      <w:r w:rsidR="00677BB2" w:rsidRPr="00677BB2">
        <w:rPr>
          <w:rFonts w:ascii="Calibri" w:hAnsi="Calibri" w:cs="Calibri"/>
          <w:color w:val="000000"/>
        </w:rPr>
        <w:t xml:space="preserve"> </w:t>
      </w:r>
      <w:r w:rsidR="00711D5B">
        <w:rPr>
          <w:rFonts w:ascii="Calibri" w:hAnsi="Calibri" w:cs="Calibri"/>
          <w:color w:val="000000"/>
        </w:rPr>
        <w:t>r</w:t>
      </w:r>
      <w:r w:rsidR="00677BB2" w:rsidRPr="00677BB2">
        <w:rPr>
          <w:rFonts w:ascii="Calibri" w:hAnsi="Calibri" w:cs="Calibri"/>
          <w:color w:val="000000"/>
        </w:rPr>
        <w:t>esidents</w:t>
      </w:r>
      <w:r w:rsidR="00F5789A">
        <w:rPr>
          <w:rFonts w:ascii="Calibri" w:hAnsi="Calibri" w:cs="Calibri"/>
          <w:color w:val="000000"/>
        </w:rPr>
        <w:t>.</w:t>
      </w:r>
      <w:r w:rsidR="00547648">
        <w:rPr>
          <w:rFonts w:ascii="Calibri" w:hAnsi="Calibri" w:cs="Calibri"/>
          <w:color w:val="000000"/>
        </w:rPr>
        <w:t xml:space="preserve"> </w:t>
      </w:r>
      <w:r w:rsidR="00F5789A">
        <w:rPr>
          <w:rFonts w:ascii="Calibri" w:hAnsi="Calibri" w:cs="Calibri"/>
          <w:color w:val="000000"/>
        </w:rPr>
        <w:t>While</w:t>
      </w:r>
      <w:r w:rsidR="00711D5B">
        <w:rPr>
          <w:rFonts w:ascii="Calibri" w:hAnsi="Calibri" w:cs="Calibri"/>
          <w:color w:val="000000"/>
        </w:rPr>
        <w:t xml:space="preserve"> income and education levels </w:t>
      </w:r>
      <w:r w:rsidR="00B825CA">
        <w:rPr>
          <w:rFonts w:ascii="Calibri" w:hAnsi="Calibri" w:cs="Calibri"/>
          <w:color w:val="000000"/>
        </w:rPr>
        <w:t>may increase</w:t>
      </w:r>
      <w:r w:rsidR="00711D5B">
        <w:rPr>
          <w:rFonts w:ascii="Calibri" w:hAnsi="Calibri" w:cs="Calibri"/>
          <w:color w:val="000000"/>
        </w:rPr>
        <w:t xml:space="preserve"> without displacement</w:t>
      </w:r>
      <w:r w:rsidR="00F5789A">
        <w:rPr>
          <w:rFonts w:ascii="Calibri" w:hAnsi="Calibri" w:cs="Calibri"/>
          <w:color w:val="000000"/>
        </w:rPr>
        <w:t xml:space="preserve">, </w:t>
      </w:r>
      <w:r w:rsidR="00711D5B">
        <w:rPr>
          <w:rFonts w:ascii="Calibri" w:hAnsi="Calibri" w:cs="Calibri"/>
          <w:color w:val="000000"/>
        </w:rPr>
        <w:t xml:space="preserve">race </w:t>
      </w:r>
      <w:r w:rsidR="00196128">
        <w:rPr>
          <w:rFonts w:ascii="Calibri" w:hAnsi="Calibri" w:cs="Calibri"/>
          <w:color w:val="000000"/>
        </w:rPr>
        <w:t xml:space="preserve">is </w:t>
      </w:r>
      <w:r w:rsidR="00BB744A">
        <w:rPr>
          <w:rFonts w:ascii="Calibri" w:hAnsi="Calibri" w:cs="Calibri"/>
          <w:color w:val="000000"/>
        </w:rPr>
        <w:t>necessary</w:t>
      </w:r>
      <w:r w:rsidR="00F5789A">
        <w:rPr>
          <w:rFonts w:ascii="Calibri" w:hAnsi="Calibri" w:cs="Calibri"/>
          <w:color w:val="000000"/>
        </w:rPr>
        <w:t xml:space="preserve"> to differentiate incumbent upgrading from ethnic </w:t>
      </w:r>
      <w:r w:rsidR="00677BB2" w:rsidRPr="00677BB2">
        <w:rPr>
          <w:rFonts w:ascii="Calibri" w:hAnsi="Calibri" w:cs="Calibri"/>
          <w:color w:val="000000"/>
        </w:rPr>
        <w:t>displacement</w:t>
      </w:r>
      <w:r w:rsidR="00A84BC5">
        <w:rPr>
          <w:rFonts w:ascii="Calibri" w:hAnsi="Calibri" w:cs="Calibri"/>
          <w:color w:val="000000"/>
        </w:rPr>
        <w:t xml:space="preserve">, </w:t>
      </w:r>
      <w:r w:rsidR="00F30B56">
        <w:rPr>
          <w:rFonts w:ascii="Calibri" w:hAnsi="Calibri" w:cs="Calibri"/>
          <w:color w:val="000000"/>
        </w:rPr>
        <w:t>the primary negative externality of gentrification</w:t>
      </w:r>
      <w:r w:rsidR="00677BB2" w:rsidRPr="00677BB2">
        <w:rPr>
          <w:rFonts w:ascii="Calibri" w:hAnsi="Calibri" w:cs="Calibri"/>
          <w:color w:val="000000"/>
        </w:rPr>
        <w:t>.</w:t>
      </w:r>
      <w:r w:rsidR="00711D5B">
        <w:rPr>
          <w:rFonts w:ascii="Calibri" w:hAnsi="Calibri" w:cs="Calibri"/>
          <w:color w:val="000000"/>
        </w:rPr>
        <w:t xml:space="preserve"> </w:t>
      </w:r>
      <w:r w:rsidR="00196128" w:rsidRPr="00677BB2">
        <w:rPr>
          <w:rFonts w:ascii="Calibri" w:hAnsi="Calibri" w:cs="Calibri"/>
          <w:color w:val="000000"/>
        </w:rPr>
        <w:t>The</w:t>
      </w:r>
      <w:r w:rsidR="00196128">
        <w:rPr>
          <w:rFonts w:ascii="Calibri" w:hAnsi="Calibri" w:cs="Calibri"/>
          <w:color w:val="000000"/>
        </w:rPr>
        <w:t>s</w:t>
      </w:r>
      <w:r w:rsidR="00BF5C6C">
        <w:rPr>
          <w:rFonts w:ascii="Calibri" w:hAnsi="Calibri" w:cs="Calibri"/>
          <w:color w:val="000000"/>
        </w:rPr>
        <w:t>e</w:t>
      </w:r>
      <w:r w:rsidR="00196128" w:rsidRPr="00677BB2">
        <w:rPr>
          <w:rFonts w:ascii="Calibri" w:hAnsi="Calibri" w:cs="Calibri"/>
          <w:color w:val="000000"/>
        </w:rPr>
        <w:t xml:space="preserve"> six </w:t>
      </w:r>
      <w:r w:rsidR="00BB744A">
        <w:rPr>
          <w:rFonts w:ascii="Calibri" w:hAnsi="Calibri" w:cs="Calibri"/>
          <w:color w:val="000000"/>
        </w:rPr>
        <w:t>variables</w:t>
      </w:r>
      <w:r w:rsidR="00196128" w:rsidRPr="00677BB2">
        <w:rPr>
          <w:rFonts w:ascii="Calibri" w:hAnsi="Calibri" w:cs="Calibri"/>
          <w:color w:val="000000"/>
        </w:rPr>
        <w:t xml:space="preserve"> are calculated as percent change between 2000 and 201</w:t>
      </w:r>
      <w:r w:rsidR="00196128">
        <w:rPr>
          <w:rFonts w:ascii="Calibri" w:hAnsi="Calibri" w:cs="Calibri"/>
          <w:color w:val="000000"/>
        </w:rPr>
        <w:t>9</w:t>
      </w:r>
      <w:r w:rsidR="00196128" w:rsidRPr="00677BB2">
        <w:rPr>
          <w:rFonts w:ascii="Calibri" w:hAnsi="Calibri" w:cs="Calibri"/>
          <w:color w:val="000000"/>
        </w:rPr>
        <w:t xml:space="preserve">. </w:t>
      </w:r>
      <w:r w:rsidR="00196128">
        <w:rPr>
          <w:rFonts w:ascii="Calibri" w:hAnsi="Calibri" w:cs="Calibri"/>
          <w:color w:val="000000"/>
        </w:rPr>
        <w:t>As such, w</w:t>
      </w:r>
      <w:r w:rsidR="00196128" w:rsidRPr="00677BB2">
        <w:rPr>
          <w:rFonts w:ascii="Calibri" w:hAnsi="Calibri" w:cs="Calibri"/>
          <w:color w:val="000000"/>
        </w:rPr>
        <w:t xml:space="preserve">e are </w:t>
      </w:r>
      <w:r w:rsidR="00196128">
        <w:rPr>
          <w:rFonts w:ascii="Calibri" w:hAnsi="Calibri" w:cs="Calibri"/>
          <w:color w:val="000000"/>
        </w:rPr>
        <w:t>concerned with the relative</w:t>
      </w:r>
      <w:r w:rsidR="00196128" w:rsidRPr="00677BB2">
        <w:rPr>
          <w:rFonts w:ascii="Calibri" w:hAnsi="Calibri" w:cs="Calibri"/>
          <w:color w:val="000000"/>
        </w:rPr>
        <w:t xml:space="preserve"> evolution of neighborhood change, </w:t>
      </w:r>
      <w:r w:rsidR="00196128">
        <w:rPr>
          <w:rFonts w:ascii="Calibri" w:hAnsi="Calibri" w:cs="Calibri"/>
          <w:color w:val="000000"/>
        </w:rPr>
        <w:t>irrespective</w:t>
      </w:r>
      <w:r w:rsidR="00196128" w:rsidRPr="00677BB2">
        <w:rPr>
          <w:rFonts w:ascii="Calibri" w:hAnsi="Calibri" w:cs="Calibri"/>
          <w:color w:val="000000"/>
        </w:rPr>
        <w:t xml:space="preserve"> of starting socio-economic or demographic compositions</w:t>
      </w:r>
      <w:r w:rsidR="00196128">
        <w:rPr>
          <w:rFonts w:ascii="Calibri" w:hAnsi="Calibri" w:cs="Calibri"/>
          <w:color w:val="000000"/>
        </w:rPr>
        <w:t xml:space="preserve">. </w:t>
      </w:r>
    </w:p>
    <w:p w14:paraId="12594D26" w14:textId="77777777" w:rsidR="00BD50E1" w:rsidRDefault="00BD50E1" w:rsidP="00BD50E1">
      <w:pPr>
        <w:rPr>
          <w:i/>
          <w:iCs/>
        </w:rPr>
      </w:pPr>
    </w:p>
    <w:p w14:paraId="653C3CAA" w14:textId="77777777" w:rsidR="0026530D" w:rsidRDefault="0026530D" w:rsidP="00F30B56">
      <w:pPr>
        <w:autoSpaceDE w:val="0"/>
        <w:autoSpaceDN w:val="0"/>
        <w:adjustRightInd w:val="0"/>
        <w:spacing w:after="0" w:line="240" w:lineRule="auto"/>
        <w:ind w:firstLine="720"/>
        <w:rPr>
          <w:rFonts w:ascii="Calibri" w:hAnsi="Calibri" w:cs="Calibri"/>
          <w:color w:val="000000"/>
        </w:rPr>
      </w:pPr>
    </w:p>
    <w:p w14:paraId="620E4675" w14:textId="77777777" w:rsidR="0026530D" w:rsidRPr="00525903" w:rsidRDefault="0026530D" w:rsidP="0026530D">
      <w:pPr>
        <w:pStyle w:val="Caption"/>
        <w:keepNext/>
        <w:jc w:val="center"/>
        <w:rPr>
          <w:sz w:val="20"/>
          <w:szCs w:val="20"/>
        </w:rPr>
      </w:pPr>
      <w:r w:rsidRPr="00525903">
        <w:rPr>
          <w:sz w:val="20"/>
          <w:szCs w:val="20"/>
        </w:rPr>
        <w:t xml:space="preserve">Table </w:t>
      </w:r>
      <w:r w:rsidRPr="00525903">
        <w:rPr>
          <w:sz w:val="20"/>
          <w:szCs w:val="20"/>
        </w:rPr>
        <w:fldChar w:fldCharType="begin"/>
      </w:r>
      <w:r w:rsidRPr="00525903">
        <w:rPr>
          <w:sz w:val="20"/>
          <w:szCs w:val="20"/>
        </w:rPr>
        <w:instrText xml:space="preserve"> SEQ Table \* ARABIC </w:instrText>
      </w:r>
      <w:r w:rsidRPr="00525903">
        <w:rPr>
          <w:sz w:val="20"/>
          <w:szCs w:val="20"/>
        </w:rPr>
        <w:fldChar w:fldCharType="separate"/>
      </w:r>
      <w:r w:rsidRPr="00525903">
        <w:rPr>
          <w:noProof/>
          <w:sz w:val="20"/>
          <w:szCs w:val="20"/>
        </w:rPr>
        <w:t>2</w:t>
      </w:r>
      <w:r w:rsidRPr="00525903">
        <w:rPr>
          <w:sz w:val="20"/>
          <w:szCs w:val="20"/>
        </w:rPr>
        <w:fldChar w:fldCharType="end"/>
      </w:r>
      <w:r w:rsidRPr="00525903">
        <w:rPr>
          <w:sz w:val="20"/>
          <w:szCs w:val="20"/>
        </w:rPr>
        <w:t>. Features included in k-means clustering analysis (calculated as percent change 2000-2019).</w:t>
      </w:r>
    </w:p>
    <w:tbl>
      <w:tblPr>
        <w:tblW w:w="4717" w:type="dxa"/>
        <w:jc w:val="center"/>
        <w:tblLook w:val="04A0" w:firstRow="1" w:lastRow="0" w:firstColumn="1" w:lastColumn="0" w:noHBand="0" w:noVBand="1"/>
      </w:tblPr>
      <w:tblGrid>
        <w:gridCol w:w="4717"/>
      </w:tblGrid>
      <w:tr w:rsidR="0026530D" w:rsidRPr="00063D26" w14:paraId="3C4FC693" w14:textId="77777777" w:rsidTr="00303CB8">
        <w:trPr>
          <w:trHeight w:val="392"/>
          <w:jc w:val="center"/>
        </w:trPr>
        <w:tc>
          <w:tcPr>
            <w:tcW w:w="4717" w:type="dxa"/>
            <w:tcBorders>
              <w:top w:val="single" w:sz="4" w:space="0" w:color="auto"/>
              <w:left w:val="nil"/>
              <w:bottom w:val="single" w:sz="4" w:space="0" w:color="auto"/>
              <w:right w:val="nil"/>
            </w:tcBorders>
            <w:shd w:val="clear" w:color="auto" w:fill="auto"/>
            <w:noWrap/>
            <w:vAlign w:val="center"/>
            <w:hideMark/>
          </w:tcPr>
          <w:p w14:paraId="58B1E94B" w14:textId="77777777" w:rsidR="0026530D" w:rsidRPr="00063D26" w:rsidRDefault="0026530D" w:rsidP="00303CB8">
            <w:pPr>
              <w:keepNext/>
              <w:keepLines/>
              <w:spacing w:after="0" w:line="240" w:lineRule="auto"/>
              <w:rPr>
                <w:rFonts w:ascii="Calibri Light" w:eastAsia="Times New Roman" w:hAnsi="Calibri Light" w:cs="Calibri Light"/>
                <w:color w:val="000000"/>
              </w:rPr>
            </w:pPr>
            <w:r w:rsidRPr="00063D26">
              <w:rPr>
                <w:rFonts w:ascii="Calibri Light" w:eastAsia="Times New Roman" w:hAnsi="Calibri Light" w:cs="Calibri Light"/>
                <w:color w:val="000000"/>
              </w:rPr>
              <w:t>Clustering Variables</w:t>
            </w:r>
          </w:p>
        </w:tc>
      </w:tr>
      <w:tr w:rsidR="0026530D" w:rsidRPr="00063D26" w14:paraId="1F3760D8" w14:textId="77777777" w:rsidTr="00303CB8">
        <w:trPr>
          <w:trHeight w:val="285"/>
          <w:jc w:val="center"/>
        </w:trPr>
        <w:tc>
          <w:tcPr>
            <w:tcW w:w="4717" w:type="dxa"/>
            <w:tcBorders>
              <w:top w:val="nil"/>
              <w:left w:val="nil"/>
              <w:bottom w:val="nil"/>
              <w:right w:val="nil"/>
            </w:tcBorders>
            <w:shd w:val="clear" w:color="auto" w:fill="auto"/>
            <w:noWrap/>
            <w:vAlign w:val="bottom"/>
            <w:hideMark/>
          </w:tcPr>
          <w:p w14:paraId="5B81D78F" w14:textId="77777777" w:rsidR="0026530D" w:rsidRPr="00063D26" w:rsidRDefault="0026530D" w:rsidP="00303CB8">
            <w:pPr>
              <w:keepNext/>
              <w:keepLines/>
              <w:spacing w:after="0" w:line="240" w:lineRule="auto"/>
              <w:rPr>
                <w:rFonts w:ascii="Calibri Light" w:eastAsia="Times New Roman" w:hAnsi="Calibri Light" w:cs="Calibri Light"/>
                <w:color w:val="000000"/>
              </w:rPr>
            </w:pPr>
            <w:r w:rsidRPr="00063D26">
              <w:rPr>
                <w:rFonts w:ascii="Calibri Light" w:eastAsia="Times New Roman" w:hAnsi="Calibri Light" w:cs="Calibri Light"/>
                <w:color w:val="000000"/>
              </w:rPr>
              <w:t>Median Home Value</w:t>
            </w:r>
          </w:p>
        </w:tc>
      </w:tr>
      <w:tr w:rsidR="0026530D" w:rsidRPr="00063D26" w14:paraId="2FCF7E52" w14:textId="77777777" w:rsidTr="00303CB8">
        <w:trPr>
          <w:trHeight w:val="285"/>
          <w:jc w:val="center"/>
        </w:trPr>
        <w:tc>
          <w:tcPr>
            <w:tcW w:w="4717" w:type="dxa"/>
            <w:tcBorders>
              <w:top w:val="nil"/>
              <w:left w:val="nil"/>
              <w:bottom w:val="nil"/>
              <w:right w:val="nil"/>
            </w:tcBorders>
            <w:shd w:val="clear" w:color="auto" w:fill="auto"/>
            <w:noWrap/>
            <w:vAlign w:val="bottom"/>
            <w:hideMark/>
          </w:tcPr>
          <w:p w14:paraId="2A8AF46B" w14:textId="77777777" w:rsidR="0026530D" w:rsidRPr="00063D26" w:rsidRDefault="0026530D" w:rsidP="00303CB8">
            <w:pPr>
              <w:keepNext/>
              <w:keepLines/>
              <w:spacing w:after="0" w:line="240" w:lineRule="auto"/>
              <w:rPr>
                <w:rFonts w:ascii="Calibri Light" w:eastAsia="Times New Roman" w:hAnsi="Calibri Light" w:cs="Calibri Light"/>
                <w:color w:val="000000"/>
              </w:rPr>
            </w:pPr>
            <w:r w:rsidRPr="00063D26">
              <w:rPr>
                <w:rFonts w:ascii="Calibri Light" w:eastAsia="Times New Roman" w:hAnsi="Calibri Light" w:cs="Calibri Light"/>
                <w:color w:val="000000"/>
              </w:rPr>
              <w:t>Median Rent Value</w:t>
            </w:r>
          </w:p>
        </w:tc>
      </w:tr>
      <w:tr w:rsidR="0026530D" w:rsidRPr="00063D26" w14:paraId="67355C04" w14:textId="77777777" w:rsidTr="00303CB8">
        <w:trPr>
          <w:trHeight w:val="285"/>
          <w:jc w:val="center"/>
        </w:trPr>
        <w:tc>
          <w:tcPr>
            <w:tcW w:w="4717" w:type="dxa"/>
            <w:tcBorders>
              <w:top w:val="nil"/>
              <w:left w:val="nil"/>
              <w:bottom w:val="nil"/>
              <w:right w:val="nil"/>
            </w:tcBorders>
            <w:shd w:val="clear" w:color="auto" w:fill="auto"/>
            <w:noWrap/>
            <w:vAlign w:val="bottom"/>
            <w:hideMark/>
          </w:tcPr>
          <w:p w14:paraId="462DD446" w14:textId="77777777" w:rsidR="0026530D" w:rsidRPr="00063D26" w:rsidRDefault="0026530D" w:rsidP="00303CB8">
            <w:pPr>
              <w:keepNext/>
              <w:keepLines/>
              <w:spacing w:after="0" w:line="240" w:lineRule="auto"/>
              <w:rPr>
                <w:rFonts w:ascii="Calibri Light" w:eastAsia="Times New Roman" w:hAnsi="Calibri Light" w:cs="Calibri Light"/>
                <w:color w:val="000000"/>
              </w:rPr>
            </w:pPr>
            <w:r w:rsidRPr="00063D26">
              <w:rPr>
                <w:rFonts w:ascii="Calibri Light" w:eastAsia="Times New Roman" w:hAnsi="Calibri Light" w:cs="Calibri Light"/>
                <w:color w:val="000000"/>
              </w:rPr>
              <w:t>Median Household Income</w:t>
            </w:r>
          </w:p>
        </w:tc>
      </w:tr>
      <w:tr w:rsidR="0026530D" w:rsidRPr="00063D26" w14:paraId="035649F6" w14:textId="77777777" w:rsidTr="00303CB8">
        <w:trPr>
          <w:trHeight w:val="285"/>
          <w:jc w:val="center"/>
        </w:trPr>
        <w:tc>
          <w:tcPr>
            <w:tcW w:w="4717" w:type="dxa"/>
            <w:tcBorders>
              <w:top w:val="nil"/>
              <w:left w:val="nil"/>
              <w:bottom w:val="nil"/>
              <w:right w:val="nil"/>
            </w:tcBorders>
            <w:shd w:val="clear" w:color="auto" w:fill="auto"/>
            <w:noWrap/>
            <w:vAlign w:val="bottom"/>
            <w:hideMark/>
          </w:tcPr>
          <w:p w14:paraId="0517F673" w14:textId="77777777" w:rsidR="0026530D" w:rsidRPr="00063D26" w:rsidRDefault="0026530D" w:rsidP="00303CB8">
            <w:pPr>
              <w:keepNext/>
              <w:keepLines/>
              <w:spacing w:after="0" w:line="240" w:lineRule="auto"/>
              <w:rPr>
                <w:rFonts w:ascii="Calibri Light" w:eastAsia="Times New Roman" w:hAnsi="Calibri Light" w:cs="Calibri Light"/>
                <w:color w:val="000000"/>
              </w:rPr>
            </w:pPr>
            <w:r w:rsidRPr="00063D26">
              <w:rPr>
                <w:rFonts w:ascii="Calibri Light" w:eastAsia="Times New Roman" w:hAnsi="Calibri Light" w:cs="Calibri Light"/>
                <w:color w:val="000000"/>
              </w:rPr>
              <w:t>Percentage of Persons 25+ with College Degree</w:t>
            </w:r>
          </w:p>
        </w:tc>
      </w:tr>
      <w:tr w:rsidR="0026530D" w:rsidRPr="00063D26" w14:paraId="2004FEB9" w14:textId="77777777" w:rsidTr="00303CB8">
        <w:trPr>
          <w:trHeight w:val="285"/>
          <w:jc w:val="center"/>
        </w:trPr>
        <w:tc>
          <w:tcPr>
            <w:tcW w:w="4717" w:type="dxa"/>
            <w:tcBorders>
              <w:top w:val="nil"/>
              <w:left w:val="nil"/>
              <w:bottom w:val="nil"/>
              <w:right w:val="nil"/>
            </w:tcBorders>
            <w:shd w:val="clear" w:color="auto" w:fill="auto"/>
            <w:noWrap/>
            <w:vAlign w:val="bottom"/>
            <w:hideMark/>
          </w:tcPr>
          <w:p w14:paraId="20600DFA" w14:textId="77777777" w:rsidR="0026530D" w:rsidRPr="00063D26" w:rsidRDefault="0026530D" w:rsidP="00303CB8">
            <w:pPr>
              <w:keepNext/>
              <w:keepLines/>
              <w:spacing w:after="0" w:line="240" w:lineRule="auto"/>
              <w:rPr>
                <w:rFonts w:ascii="Calibri Light" w:eastAsia="Times New Roman" w:hAnsi="Calibri Light" w:cs="Calibri Light"/>
                <w:color w:val="000000"/>
              </w:rPr>
            </w:pPr>
            <w:r w:rsidRPr="00063D26">
              <w:rPr>
                <w:rFonts w:ascii="Calibri Light" w:eastAsia="Times New Roman" w:hAnsi="Calibri Light" w:cs="Calibri Light"/>
                <w:color w:val="000000"/>
              </w:rPr>
              <w:t>Percent Non-White</w:t>
            </w:r>
          </w:p>
        </w:tc>
      </w:tr>
      <w:tr w:rsidR="0026530D" w:rsidRPr="00063D26" w14:paraId="4FD98387" w14:textId="77777777" w:rsidTr="00303CB8">
        <w:trPr>
          <w:trHeight w:val="285"/>
          <w:jc w:val="center"/>
        </w:trPr>
        <w:tc>
          <w:tcPr>
            <w:tcW w:w="4717" w:type="dxa"/>
            <w:tcBorders>
              <w:top w:val="nil"/>
              <w:left w:val="nil"/>
              <w:bottom w:val="single" w:sz="4" w:space="0" w:color="auto"/>
              <w:right w:val="nil"/>
            </w:tcBorders>
            <w:shd w:val="clear" w:color="auto" w:fill="auto"/>
            <w:noWrap/>
            <w:vAlign w:val="bottom"/>
            <w:hideMark/>
          </w:tcPr>
          <w:p w14:paraId="7AACBCF2" w14:textId="77777777" w:rsidR="0026530D" w:rsidRPr="00063D26" w:rsidRDefault="0026530D" w:rsidP="00303CB8">
            <w:pPr>
              <w:keepLines/>
              <w:spacing w:after="0" w:line="240" w:lineRule="auto"/>
              <w:rPr>
                <w:rFonts w:ascii="Calibri Light" w:eastAsia="Times New Roman" w:hAnsi="Calibri Light" w:cs="Calibri Light"/>
                <w:color w:val="000000"/>
              </w:rPr>
            </w:pPr>
            <w:r w:rsidRPr="00063D26">
              <w:rPr>
                <w:rFonts w:ascii="Calibri Light" w:eastAsia="Times New Roman" w:hAnsi="Calibri Light" w:cs="Calibri Light"/>
                <w:color w:val="000000"/>
              </w:rPr>
              <w:t>Percent Multi-Unit Housing</w:t>
            </w:r>
          </w:p>
        </w:tc>
      </w:tr>
    </w:tbl>
    <w:p w14:paraId="029B2681" w14:textId="77777777" w:rsidR="00677BB2" w:rsidRPr="00677BB2" w:rsidRDefault="00677BB2" w:rsidP="00677BB2">
      <w:pPr>
        <w:autoSpaceDE w:val="0"/>
        <w:autoSpaceDN w:val="0"/>
        <w:adjustRightInd w:val="0"/>
        <w:spacing w:after="0" w:line="240" w:lineRule="auto"/>
        <w:rPr>
          <w:rFonts w:ascii="Calibri" w:hAnsi="Calibri" w:cs="Calibri"/>
          <w:color w:val="000000"/>
        </w:rPr>
      </w:pPr>
    </w:p>
    <w:p w14:paraId="25CBF04D" w14:textId="22191D93" w:rsidR="00677BB2" w:rsidRDefault="00677BB2" w:rsidP="00A36714">
      <w:pPr>
        <w:autoSpaceDE w:val="0"/>
        <w:autoSpaceDN w:val="0"/>
        <w:adjustRightInd w:val="0"/>
        <w:spacing w:after="0" w:line="240" w:lineRule="auto"/>
        <w:ind w:firstLine="720"/>
        <w:rPr>
          <w:rFonts w:ascii="Calibri" w:hAnsi="Calibri" w:cs="Calibri"/>
          <w:color w:val="000000"/>
        </w:rPr>
      </w:pPr>
      <w:r w:rsidRPr="00677BB2">
        <w:rPr>
          <w:rFonts w:ascii="Calibri" w:hAnsi="Calibri" w:cs="Calibri"/>
          <w:color w:val="000000"/>
        </w:rPr>
        <w:t xml:space="preserve">Previous researchers </w:t>
      </w:r>
      <w:r w:rsidR="00F30B56">
        <w:rPr>
          <w:rFonts w:ascii="Calibri" w:hAnsi="Calibri" w:cs="Calibri"/>
          <w:color w:val="000000"/>
        </w:rPr>
        <w:t>employ</w:t>
      </w:r>
      <w:r w:rsidR="00104350">
        <w:rPr>
          <w:rFonts w:ascii="Calibri" w:hAnsi="Calibri" w:cs="Calibri"/>
          <w:color w:val="000000"/>
        </w:rPr>
        <w:t xml:space="preserve">ing </w:t>
      </w:r>
      <w:r w:rsidR="00F30B56">
        <w:rPr>
          <w:rFonts w:ascii="Calibri" w:hAnsi="Calibri" w:cs="Calibri"/>
          <w:color w:val="000000"/>
        </w:rPr>
        <w:t>k-means method</w:t>
      </w:r>
      <w:r w:rsidR="00BB744A">
        <w:rPr>
          <w:rFonts w:ascii="Calibri" w:hAnsi="Calibri" w:cs="Calibri"/>
          <w:color w:val="000000"/>
        </w:rPr>
        <w:t xml:space="preserve">s </w:t>
      </w:r>
      <w:r w:rsidRPr="00677BB2">
        <w:rPr>
          <w:rFonts w:ascii="Calibri" w:hAnsi="Calibri" w:cs="Calibri"/>
          <w:color w:val="000000"/>
        </w:rPr>
        <w:t>have used</w:t>
      </w:r>
      <w:r w:rsidR="00F30B56">
        <w:rPr>
          <w:rFonts w:ascii="Calibri" w:hAnsi="Calibri" w:cs="Calibri"/>
          <w:color w:val="000000"/>
        </w:rPr>
        <w:t xml:space="preserve"> a</w:t>
      </w:r>
      <w:r w:rsidRPr="00677BB2">
        <w:rPr>
          <w:rFonts w:ascii="Calibri" w:hAnsi="Calibri" w:cs="Calibri"/>
          <w:color w:val="000000"/>
        </w:rPr>
        <w:t xml:space="preserve"> larger number of variables to identify neighborhood change trajectories (</w:t>
      </w:r>
      <w:proofErr w:type="spellStart"/>
      <w:r w:rsidRPr="00677BB2">
        <w:rPr>
          <w:rFonts w:ascii="Calibri" w:hAnsi="Calibri" w:cs="Calibri"/>
          <w:color w:val="000000"/>
        </w:rPr>
        <w:t>Delmelle</w:t>
      </w:r>
      <w:proofErr w:type="spellEnd"/>
      <w:r w:rsidRPr="00677BB2">
        <w:rPr>
          <w:rFonts w:ascii="Calibri" w:hAnsi="Calibri" w:cs="Calibri"/>
          <w:color w:val="000000"/>
        </w:rPr>
        <w:t xml:space="preserve">, 2016; </w:t>
      </w:r>
      <w:proofErr w:type="spellStart"/>
      <w:r w:rsidRPr="00677BB2">
        <w:rPr>
          <w:rFonts w:ascii="Calibri" w:hAnsi="Calibri" w:cs="Calibri"/>
          <w:color w:val="000000"/>
        </w:rPr>
        <w:t>Podagrosi</w:t>
      </w:r>
      <w:proofErr w:type="spellEnd"/>
      <w:r w:rsidRPr="00677BB2">
        <w:rPr>
          <w:rFonts w:ascii="Calibri" w:hAnsi="Calibri" w:cs="Calibri"/>
          <w:color w:val="000000"/>
        </w:rPr>
        <w:t xml:space="preserve"> et al., 2011). To accommodate these variables, </w:t>
      </w:r>
      <w:r w:rsidR="008E36A5">
        <w:rPr>
          <w:rFonts w:ascii="Calibri" w:hAnsi="Calibri" w:cs="Calibri"/>
          <w:color w:val="000000"/>
        </w:rPr>
        <w:t xml:space="preserve">PCA </w:t>
      </w:r>
      <w:r w:rsidR="00BF5C6C">
        <w:rPr>
          <w:rFonts w:ascii="Calibri" w:hAnsi="Calibri" w:cs="Calibri"/>
          <w:color w:val="000000"/>
        </w:rPr>
        <w:t>is used to</w:t>
      </w:r>
      <w:r w:rsidRPr="00677BB2">
        <w:rPr>
          <w:rFonts w:ascii="Calibri" w:hAnsi="Calibri" w:cs="Calibri"/>
          <w:color w:val="000000"/>
        </w:rPr>
        <w:t xml:space="preserve"> reduce the dimensionality to a handful of </w:t>
      </w:r>
      <w:r w:rsidR="00BF5C6C">
        <w:rPr>
          <w:rFonts w:ascii="Calibri" w:hAnsi="Calibri" w:cs="Calibri"/>
          <w:color w:val="000000"/>
        </w:rPr>
        <w:t>information-dense</w:t>
      </w:r>
      <w:r w:rsidRPr="00677BB2">
        <w:rPr>
          <w:rFonts w:ascii="Calibri" w:hAnsi="Calibri" w:cs="Calibri"/>
          <w:color w:val="000000"/>
        </w:rPr>
        <w:t xml:space="preserve"> variables. </w:t>
      </w:r>
      <w:r w:rsidR="00547648">
        <w:rPr>
          <w:rFonts w:ascii="Calibri" w:hAnsi="Calibri" w:cs="Calibri"/>
          <w:color w:val="000000"/>
        </w:rPr>
        <w:t xml:space="preserve">While </w:t>
      </w:r>
      <w:r w:rsidR="008E36A5">
        <w:rPr>
          <w:rFonts w:ascii="Calibri" w:hAnsi="Calibri" w:cs="Calibri"/>
          <w:color w:val="000000"/>
        </w:rPr>
        <w:t xml:space="preserve">PCA </w:t>
      </w:r>
      <w:r w:rsidR="00BF5C6C">
        <w:rPr>
          <w:rFonts w:ascii="Calibri" w:hAnsi="Calibri" w:cs="Calibri"/>
          <w:color w:val="000000"/>
        </w:rPr>
        <w:t xml:space="preserve">can </w:t>
      </w:r>
      <w:r w:rsidR="00547648">
        <w:rPr>
          <w:rFonts w:ascii="Calibri" w:hAnsi="Calibri" w:cs="Calibri"/>
          <w:color w:val="000000"/>
        </w:rPr>
        <w:t>accommodate larger feature space</w:t>
      </w:r>
      <w:r w:rsidR="008E36A5">
        <w:rPr>
          <w:rFonts w:ascii="Calibri" w:hAnsi="Calibri" w:cs="Calibri"/>
          <w:color w:val="000000"/>
        </w:rPr>
        <w:t>s</w:t>
      </w:r>
      <w:r w:rsidR="00547648">
        <w:rPr>
          <w:rFonts w:ascii="Calibri" w:hAnsi="Calibri" w:cs="Calibri"/>
          <w:color w:val="000000"/>
        </w:rPr>
        <w:t xml:space="preserve">, </w:t>
      </w:r>
      <w:r w:rsidR="008E36A5">
        <w:rPr>
          <w:rFonts w:ascii="Calibri" w:hAnsi="Calibri" w:cs="Calibri"/>
          <w:color w:val="000000"/>
        </w:rPr>
        <w:t xml:space="preserve">it can </w:t>
      </w:r>
      <w:r w:rsidR="00525903">
        <w:rPr>
          <w:rFonts w:ascii="Calibri" w:hAnsi="Calibri" w:cs="Calibri"/>
          <w:color w:val="000000"/>
        </w:rPr>
        <w:t xml:space="preserve">verge </w:t>
      </w:r>
      <w:r w:rsidR="00547648">
        <w:rPr>
          <w:rFonts w:ascii="Calibri" w:hAnsi="Calibri" w:cs="Calibri"/>
          <w:color w:val="000000"/>
        </w:rPr>
        <w:t>on theoretical overfitting of gentrification</w:t>
      </w:r>
      <w:r w:rsidR="00BF5C6C">
        <w:rPr>
          <w:rFonts w:ascii="Calibri" w:hAnsi="Calibri" w:cs="Calibri"/>
          <w:color w:val="000000"/>
        </w:rPr>
        <w:t xml:space="preserve"> signals</w:t>
      </w:r>
      <w:r w:rsidR="008E36A5">
        <w:rPr>
          <w:rFonts w:ascii="Calibri" w:hAnsi="Calibri" w:cs="Calibri"/>
          <w:color w:val="000000"/>
        </w:rPr>
        <w:t>,</w:t>
      </w:r>
      <w:r w:rsidR="00547648">
        <w:rPr>
          <w:rFonts w:ascii="Calibri" w:hAnsi="Calibri" w:cs="Calibri"/>
          <w:color w:val="000000"/>
        </w:rPr>
        <w:t xml:space="preserve"> </w:t>
      </w:r>
      <w:r w:rsidR="00525903">
        <w:rPr>
          <w:rFonts w:ascii="Calibri" w:hAnsi="Calibri" w:cs="Calibri"/>
          <w:color w:val="000000"/>
        </w:rPr>
        <w:t xml:space="preserve">while also </w:t>
      </w:r>
      <w:r w:rsidR="00547648">
        <w:rPr>
          <w:rFonts w:ascii="Calibri" w:hAnsi="Calibri" w:cs="Calibri"/>
          <w:color w:val="000000"/>
        </w:rPr>
        <w:t>sacrific</w:t>
      </w:r>
      <w:r w:rsidR="00525903">
        <w:rPr>
          <w:rFonts w:ascii="Calibri" w:hAnsi="Calibri" w:cs="Calibri"/>
          <w:color w:val="000000"/>
        </w:rPr>
        <w:t>ing</w:t>
      </w:r>
      <w:r w:rsidR="00547648">
        <w:rPr>
          <w:rFonts w:ascii="Calibri" w:hAnsi="Calibri" w:cs="Calibri"/>
          <w:color w:val="000000"/>
        </w:rPr>
        <w:t xml:space="preserve"> interpretability</w:t>
      </w:r>
      <w:r w:rsidR="008E36A5">
        <w:rPr>
          <w:rFonts w:ascii="Calibri" w:hAnsi="Calibri" w:cs="Calibri"/>
          <w:color w:val="000000"/>
        </w:rPr>
        <w:t xml:space="preserve"> and potentially wash</w:t>
      </w:r>
      <w:r w:rsidR="00525903">
        <w:rPr>
          <w:rFonts w:ascii="Calibri" w:hAnsi="Calibri" w:cs="Calibri"/>
          <w:color w:val="000000"/>
        </w:rPr>
        <w:t>ing</w:t>
      </w:r>
      <w:r w:rsidR="008E36A5">
        <w:rPr>
          <w:rFonts w:ascii="Calibri" w:hAnsi="Calibri" w:cs="Calibri"/>
          <w:color w:val="000000"/>
        </w:rPr>
        <w:t xml:space="preserve"> out the most direct measurements of investment, disinvestment, and demographic turnover</w:t>
      </w:r>
      <w:r w:rsidR="00547648">
        <w:rPr>
          <w:rFonts w:ascii="Calibri" w:hAnsi="Calibri" w:cs="Calibri"/>
          <w:color w:val="000000"/>
        </w:rPr>
        <w:t xml:space="preserve">. </w:t>
      </w:r>
      <w:r w:rsidR="00BB744A">
        <w:rPr>
          <w:rFonts w:ascii="Calibri" w:hAnsi="Calibri" w:cs="Calibri"/>
          <w:color w:val="000000"/>
        </w:rPr>
        <w:t>Instead, w</w:t>
      </w:r>
      <w:r w:rsidRPr="00677BB2">
        <w:rPr>
          <w:rFonts w:ascii="Calibri" w:hAnsi="Calibri" w:cs="Calibri"/>
          <w:color w:val="000000"/>
        </w:rPr>
        <w:t>e</w:t>
      </w:r>
      <w:r w:rsidR="00F30B56">
        <w:rPr>
          <w:rFonts w:ascii="Calibri" w:hAnsi="Calibri" w:cs="Calibri"/>
          <w:color w:val="000000"/>
        </w:rPr>
        <w:t xml:space="preserve"> cluster on six</w:t>
      </w:r>
      <w:r w:rsidR="00BB744A">
        <w:rPr>
          <w:rFonts w:ascii="Calibri" w:hAnsi="Calibri" w:cs="Calibri"/>
          <w:color w:val="000000"/>
        </w:rPr>
        <w:t xml:space="preserve"> </w:t>
      </w:r>
      <w:r w:rsidR="00BF5C6C">
        <w:rPr>
          <w:rFonts w:ascii="Calibri" w:hAnsi="Calibri" w:cs="Calibri"/>
          <w:color w:val="000000"/>
        </w:rPr>
        <w:t xml:space="preserve">most </w:t>
      </w:r>
      <w:r w:rsidR="00253D7C">
        <w:rPr>
          <w:rFonts w:ascii="Calibri" w:hAnsi="Calibri" w:cs="Calibri"/>
          <w:color w:val="000000"/>
        </w:rPr>
        <w:t>direct</w:t>
      </w:r>
      <w:r w:rsidRPr="00677BB2">
        <w:rPr>
          <w:rFonts w:ascii="Calibri" w:hAnsi="Calibri" w:cs="Calibri"/>
          <w:color w:val="000000"/>
        </w:rPr>
        <w:t xml:space="preserve"> proxies for investment</w:t>
      </w:r>
      <w:r w:rsidR="00BF5C6C">
        <w:rPr>
          <w:rFonts w:ascii="Calibri" w:hAnsi="Calibri" w:cs="Calibri"/>
          <w:color w:val="000000"/>
        </w:rPr>
        <w:t xml:space="preserve"> change. </w:t>
      </w:r>
      <w:r w:rsidRPr="00677BB2">
        <w:rPr>
          <w:rFonts w:ascii="Calibri" w:hAnsi="Calibri" w:cs="Calibri"/>
          <w:color w:val="000000"/>
        </w:rPr>
        <w:t xml:space="preserve">The six features </w:t>
      </w:r>
      <w:r w:rsidR="00F30B56">
        <w:rPr>
          <w:rFonts w:ascii="Calibri" w:hAnsi="Calibri" w:cs="Calibri"/>
          <w:color w:val="000000"/>
        </w:rPr>
        <w:t>listed in Table 2</w:t>
      </w:r>
      <w:r w:rsidRPr="00677BB2">
        <w:rPr>
          <w:rFonts w:ascii="Calibri" w:hAnsi="Calibri" w:cs="Calibri"/>
          <w:color w:val="000000"/>
        </w:rPr>
        <w:t xml:space="preserve"> balance more dimensions than </w:t>
      </w:r>
      <w:r w:rsidR="00831EED">
        <w:rPr>
          <w:rFonts w:ascii="Calibri" w:hAnsi="Calibri" w:cs="Calibri"/>
          <w:color w:val="000000"/>
        </w:rPr>
        <w:t>threshold</w:t>
      </w:r>
      <w:r w:rsidRPr="00677BB2">
        <w:rPr>
          <w:rFonts w:ascii="Calibri" w:hAnsi="Calibri" w:cs="Calibri"/>
          <w:color w:val="000000"/>
        </w:rPr>
        <w:t xml:space="preserve"> methods, but </w:t>
      </w:r>
      <w:r w:rsidR="006F1E83">
        <w:rPr>
          <w:rFonts w:ascii="Calibri" w:hAnsi="Calibri" w:cs="Calibri"/>
          <w:color w:val="000000"/>
        </w:rPr>
        <w:t>fewer</w:t>
      </w:r>
      <w:r w:rsidR="006F1E83" w:rsidRPr="00677BB2">
        <w:rPr>
          <w:rFonts w:ascii="Calibri" w:hAnsi="Calibri" w:cs="Calibri"/>
          <w:color w:val="000000"/>
        </w:rPr>
        <w:t xml:space="preserve"> </w:t>
      </w:r>
      <w:r w:rsidRPr="00677BB2">
        <w:rPr>
          <w:rFonts w:ascii="Calibri" w:hAnsi="Calibri" w:cs="Calibri"/>
          <w:color w:val="000000"/>
        </w:rPr>
        <w:t>features than previous clustering methods</w:t>
      </w:r>
      <w:r w:rsidR="00BB744A">
        <w:rPr>
          <w:rFonts w:ascii="Calibri" w:hAnsi="Calibri" w:cs="Calibri"/>
          <w:color w:val="000000"/>
        </w:rPr>
        <w:t xml:space="preserve">. </w:t>
      </w:r>
      <w:r w:rsidRPr="00677BB2">
        <w:rPr>
          <w:rFonts w:ascii="Calibri" w:hAnsi="Calibri" w:cs="Calibri"/>
          <w:color w:val="000000"/>
        </w:rPr>
        <w:t xml:space="preserve">This </w:t>
      </w:r>
      <w:r w:rsidR="006F1E83">
        <w:rPr>
          <w:rFonts w:ascii="Calibri" w:hAnsi="Calibri" w:cs="Calibri"/>
          <w:color w:val="000000"/>
        </w:rPr>
        <w:t xml:space="preserve">approach </w:t>
      </w:r>
      <w:r w:rsidRPr="00677BB2">
        <w:rPr>
          <w:rFonts w:ascii="Calibri" w:hAnsi="Calibri" w:cs="Calibri"/>
          <w:color w:val="000000"/>
        </w:rPr>
        <w:t>bypasses the need for dimensionality redu</w:t>
      </w:r>
      <w:r w:rsidR="0051739F">
        <w:rPr>
          <w:rFonts w:ascii="Calibri" w:hAnsi="Calibri" w:cs="Calibri"/>
          <w:color w:val="000000"/>
        </w:rPr>
        <w:t>ction</w:t>
      </w:r>
      <w:r w:rsidRPr="00677BB2">
        <w:rPr>
          <w:rFonts w:ascii="Calibri" w:hAnsi="Calibri" w:cs="Calibri"/>
          <w:color w:val="000000"/>
        </w:rPr>
        <w:t xml:space="preserve"> and allows for more direct and intuitive</w:t>
      </w:r>
      <w:r w:rsidR="00F30B56">
        <w:rPr>
          <w:rFonts w:ascii="Calibri" w:hAnsi="Calibri" w:cs="Calibri"/>
          <w:color w:val="000000"/>
        </w:rPr>
        <w:t xml:space="preserve"> </w:t>
      </w:r>
      <w:r w:rsidRPr="00677BB2">
        <w:rPr>
          <w:rFonts w:ascii="Calibri" w:hAnsi="Calibri" w:cs="Calibri"/>
          <w:color w:val="000000"/>
        </w:rPr>
        <w:t xml:space="preserve">reporting without diluting the </w:t>
      </w:r>
      <w:r w:rsidR="00BB744A">
        <w:rPr>
          <w:rFonts w:ascii="Calibri" w:hAnsi="Calibri" w:cs="Calibri"/>
          <w:color w:val="000000"/>
        </w:rPr>
        <w:t>direct</w:t>
      </w:r>
      <w:r w:rsidR="00BF5C6C">
        <w:rPr>
          <w:rFonts w:ascii="Calibri" w:hAnsi="Calibri" w:cs="Calibri"/>
          <w:color w:val="000000"/>
        </w:rPr>
        <w:t xml:space="preserve"> and intuitive</w:t>
      </w:r>
      <w:r w:rsidRPr="00677BB2">
        <w:rPr>
          <w:rFonts w:ascii="Calibri" w:hAnsi="Calibri" w:cs="Calibri"/>
          <w:color w:val="000000"/>
        </w:rPr>
        <w:t xml:space="preserve"> </w:t>
      </w:r>
      <w:r w:rsidR="00BF5C6C">
        <w:rPr>
          <w:rFonts w:ascii="Calibri" w:hAnsi="Calibri" w:cs="Calibri"/>
          <w:color w:val="000000"/>
        </w:rPr>
        <w:t xml:space="preserve">change </w:t>
      </w:r>
      <w:r w:rsidRPr="00677BB2">
        <w:rPr>
          <w:rFonts w:ascii="Calibri" w:hAnsi="Calibri" w:cs="Calibri"/>
          <w:color w:val="000000"/>
        </w:rPr>
        <w:t>factors</w:t>
      </w:r>
      <w:r w:rsidR="00164BEB">
        <w:rPr>
          <w:rFonts w:ascii="Calibri" w:hAnsi="Calibri" w:cs="Calibri"/>
          <w:color w:val="000000"/>
        </w:rPr>
        <w:t xml:space="preserve"> (</w:t>
      </w:r>
      <w:proofErr w:type="spellStart"/>
      <w:r w:rsidR="00164BEB">
        <w:rPr>
          <w:rFonts w:ascii="Calibri" w:hAnsi="Calibri" w:cs="Calibri"/>
          <w:color w:val="000000"/>
        </w:rPr>
        <w:t>Rheades</w:t>
      </w:r>
      <w:proofErr w:type="spellEnd"/>
      <w:r w:rsidR="00164BEB">
        <w:rPr>
          <w:rFonts w:ascii="Calibri" w:hAnsi="Calibri" w:cs="Calibri"/>
          <w:color w:val="000000"/>
        </w:rPr>
        <w:t xml:space="preserve"> 2019)</w:t>
      </w:r>
      <w:r w:rsidRPr="00677BB2">
        <w:rPr>
          <w:rFonts w:ascii="Calibri" w:hAnsi="Calibri" w:cs="Calibri"/>
          <w:color w:val="000000"/>
        </w:rPr>
        <w:t xml:space="preserve">. </w:t>
      </w:r>
    </w:p>
    <w:p w14:paraId="54AF2A87" w14:textId="682E6FA8" w:rsidR="00BD50E1" w:rsidRDefault="00BD50E1" w:rsidP="00400709">
      <w:pPr>
        <w:tabs>
          <w:tab w:val="left" w:pos="5856"/>
        </w:tabs>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ab/>
      </w:r>
    </w:p>
    <w:p w14:paraId="056FC55F" w14:textId="3F8B451E" w:rsidR="00BD50E1" w:rsidRDefault="00BD50E1" w:rsidP="0031007A">
      <w:pPr>
        <w:ind w:firstLine="576"/>
      </w:pPr>
      <w:r w:rsidRPr="00CA0531">
        <w:t xml:space="preserve">Five </w:t>
      </w:r>
      <w:r>
        <w:t xml:space="preserve">Davidson County </w:t>
      </w:r>
      <w:r w:rsidRPr="00CA0531">
        <w:t xml:space="preserve">census tracts were excluded from the cluster analysis based on the absence of residential land use; these tracts are entirely composed of commercial, industrial, and/or academic areas. Median rent values (2019) for two census tracts (47037016500 and 47037018203) were imputed </w:t>
      </w:r>
      <w:r w:rsidRPr="00CA0531">
        <w:lastRenderedPageBreak/>
        <w:t xml:space="preserve">from an average of adjacent median rent values. </w:t>
      </w:r>
      <w:r w:rsidR="0031007A" w:rsidRPr="00CA0531">
        <w:t xml:space="preserve">This imputation did not affect </w:t>
      </w:r>
      <w:r w:rsidR="0031007A">
        <w:t xml:space="preserve">the conclusions of </w:t>
      </w:r>
      <w:r w:rsidR="0031007A" w:rsidRPr="00CA0531">
        <w:t>clustering typolog</w:t>
      </w:r>
      <w:r w:rsidR="0031007A">
        <w:t>ies</w:t>
      </w:r>
      <w:r w:rsidR="0031007A" w:rsidRPr="00CA0531">
        <w:t xml:space="preserve"> or </w:t>
      </w:r>
      <w:r w:rsidR="0031007A">
        <w:t>spatial statistics</w:t>
      </w:r>
      <w:r w:rsidR="0031007A" w:rsidRPr="00CA0531">
        <w:t>.    </w:t>
      </w:r>
    </w:p>
    <w:p w14:paraId="5CE75C40" w14:textId="77777777" w:rsidR="0031007A" w:rsidRPr="00677BB2" w:rsidRDefault="0031007A" w:rsidP="001F6FAE">
      <w:pPr>
        <w:ind w:firstLine="576"/>
        <w:rPr>
          <w:rFonts w:ascii="Calibri" w:hAnsi="Calibri" w:cs="Calibri"/>
          <w:color w:val="000000"/>
        </w:rPr>
      </w:pPr>
    </w:p>
    <w:p w14:paraId="4C82CF56" w14:textId="7A7CD35F" w:rsidR="00645455" w:rsidRPr="00645455" w:rsidRDefault="00AB26E0" w:rsidP="00C225C6">
      <w:pPr>
        <w:pStyle w:val="Heading2"/>
      </w:pPr>
      <w:r>
        <w:t>K-Means Clustering</w:t>
      </w:r>
    </w:p>
    <w:p w14:paraId="60B7AB01" w14:textId="1CF507B9" w:rsidR="00677BB2" w:rsidRDefault="00677BB2" w:rsidP="00063D26">
      <w:pPr>
        <w:autoSpaceDE w:val="0"/>
        <w:autoSpaceDN w:val="0"/>
        <w:adjustRightInd w:val="0"/>
        <w:spacing w:after="0" w:line="240" w:lineRule="auto"/>
        <w:ind w:firstLine="720"/>
        <w:rPr>
          <w:rFonts w:ascii="Calibri" w:hAnsi="Calibri" w:cs="Calibri"/>
          <w:color w:val="000000"/>
        </w:rPr>
      </w:pPr>
      <w:r w:rsidRPr="00677BB2">
        <w:rPr>
          <w:rFonts w:ascii="Calibri" w:hAnsi="Calibri" w:cs="Calibri"/>
          <w:color w:val="000000"/>
        </w:rPr>
        <w:t xml:space="preserve">K-means clustering is a type of unsupervised </w:t>
      </w:r>
      <w:r w:rsidR="00F30B56">
        <w:rPr>
          <w:rFonts w:ascii="Calibri" w:hAnsi="Calibri" w:cs="Calibri"/>
          <w:color w:val="000000"/>
        </w:rPr>
        <w:t>machine learning technique</w:t>
      </w:r>
      <w:r w:rsidRPr="00677BB2">
        <w:rPr>
          <w:rFonts w:ascii="Calibri" w:hAnsi="Calibri" w:cs="Calibri"/>
          <w:color w:val="000000"/>
        </w:rPr>
        <w:t xml:space="preserve"> that partitions observations into K number</w:t>
      </w:r>
      <w:r w:rsidR="006F1E83">
        <w:rPr>
          <w:rFonts w:ascii="Calibri" w:hAnsi="Calibri" w:cs="Calibri"/>
          <w:color w:val="000000"/>
        </w:rPr>
        <w:t>s</w:t>
      </w:r>
      <w:r w:rsidRPr="00677BB2">
        <w:rPr>
          <w:rFonts w:ascii="Calibri" w:hAnsi="Calibri" w:cs="Calibri"/>
          <w:color w:val="000000"/>
        </w:rPr>
        <w:t xml:space="preserve"> of user-specified groupings. The k-means objective function iteratively assigns observations to a cluster that satisfies the minimum within-cluster sum of squares (MacQueen, 1967). The proceeding step calculates and adjusts the new means to the centroids of the new cluster. K-means can be sensitive to the starting location of cluster centroids (Yi et al., 2010).</w:t>
      </w:r>
      <w:r w:rsidR="0026530D">
        <w:rPr>
          <w:rStyle w:val="FootnoteReference"/>
          <w:rFonts w:ascii="Calibri" w:hAnsi="Calibri" w:cs="Calibri"/>
          <w:color w:val="000000"/>
        </w:rPr>
        <w:footnoteReference w:id="7"/>
      </w:r>
      <w:r w:rsidRPr="00677BB2">
        <w:rPr>
          <w:rFonts w:ascii="Calibri" w:hAnsi="Calibri" w:cs="Calibri"/>
          <w:color w:val="000000"/>
        </w:rPr>
        <w:t xml:space="preserve"> </w:t>
      </w:r>
    </w:p>
    <w:p w14:paraId="01282893" w14:textId="77777777" w:rsidR="00677BB2" w:rsidRPr="00677BB2" w:rsidRDefault="00677BB2" w:rsidP="00677BB2">
      <w:pPr>
        <w:autoSpaceDE w:val="0"/>
        <w:autoSpaceDN w:val="0"/>
        <w:adjustRightInd w:val="0"/>
        <w:spacing w:after="0" w:line="240" w:lineRule="auto"/>
        <w:rPr>
          <w:rFonts w:ascii="Calibri" w:hAnsi="Calibri" w:cs="Calibri"/>
          <w:color w:val="000000"/>
        </w:rPr>
      </w:pPr>
    </w:p>
    <w:p w14:paraId="2C56E559" w14:textId="2EB742D1" w:rsidR="00E31660" w:rsidRDefault="00677BB2" w:rsidP="00063D26">
      <w:pPr>
        <w:ind w:firstLine="720"/>
        <w:rPr>
          <w:rFonts w:ascii="Calibri" w:hAnsi="Calibri" w:cs="Calibri"/>
          <w:color w:val="000000"/>
        </w:rPr>
      </w:pPr>
      <w:r w:rsidRPr="00677BB2">
        <w:rPr>
          <w:rFonts w:ascii="Calibri" w:hAnsi="Calibri" w:cs="Calibri"/>
          <w:color w:val="000000"/>
        </w:rPr>
        <w:t xml:space="preserve">The selection of the optimal number of clusters in the dataset is a </w:t>
      </w:r>
      <w:r w:rsidR="00253D7C">
        <w:rPr>
          <w:rFonts w:ascii="Calibri" w:hAnsi="Calibri" w:cs="Calibri"/>
          <w:color w:val="000000"/>
        </w:rPr>
        <w:t>critical</w:t>
      </w:r>
      <w:r w:rsidRPr="00677BB2">
        <w:rPr>
          <w:rFonts w:ascii="Calibri" w:hAnsi="Calibri" w:cs="Calibri"/>
          <w:color w:val="000000"/>
        </w:rPr>
        <w:t xml:space="preserve"> </w:t>
      </w:r>
      <w:r w:rsidR="00253D7C">
        <w:rPr>
          <w:rFonts w:ascii="Calibri" w:hAnsi="Calibri" w:cs="Calibri"/>
          <w:color w:val="000000"/>
        </w:rPr>
        <w:t>decision</w:t>
      </w:r>
      <w:r w:rsidRPr="00677BB2">
        <w:rPr>
          <w:rFonts w:ascii="Calibri" w:hAnsi="Calibri" w:cs="Calibri"/>
          <w:color w:val="000000"/>
        </w:rPr>
        <w:t xml:space="preserve"> in cluster analysis </w:t>
      </w:r>
      <w:r w:rsidR="00BB744A">
        <w:rPr>
          <w:rFonts w:ascii="Calibri" w:hAnsi="Calibri" w:cs="Calibri"/>
          <w:color w:val="000000"/>
        </w:rPr>
        <w:t>that is</w:t>
      </w:r>
      <w:r w:rsidRPr="00677BB2">
        <w:rPr>
          <w:rFonts w:ascii="Calibri" w:hAnsi="Calibri" w:cs="Calibri"/>
          <w:color w:val="000000"/>
        </w:rPr>
        <w:t xml:space="preserve"> specific to the problem context</w:t>
      </w:r>
      <w:r w:rsidR="0026530D">
        <w:rPr>
          <w:rFonts w:ascii="Calibri" w:hAnsi="Calibri" w:cs="Calibri"/>
          <w:color w:val="000000"/>
        </w:rPr>
        <w:t xml:space="preserve"> </w:t>
      </w:r>
      <w:r w:rsidR="0026530D" w:rsidRPr="00677BB2">
        <w:rPr>
          <w:rFonts w:ascii="Calibri" w:hAnsi="Calibri" w:cs="Calibri"/>
          <w:color w:val="000000"/>
        </w:rPr>
        <w:t>(Sugar and James, 2003)</w:t>
      </w:r>
      <w:r w:rsidRPr="00677BB2">
        <w:rPr>
          <w:rFonts w:ascii="Calibri" w:hAnsi="Calibri" w:cs="Calibri"/>
          <w:color w:val="000000"/>
        </w:rPr>
        <w:t xml:space="preserve">. </w:t>
      </w:r>
      <w:r w:rsidR="00BB744A">
        <w:rPr>
          <w:rFonts w:ascii="Calibri" w:hAnsi="Calibri" w:cs="Calibri"/>
          <w:color w:val="000000"/>
        </w:rPr>
        <w:t>W</w:t>
      </w:r>
      <w:r w:rsidRPr="00677BB2">
        <w:rPr>
          <w:rFonts w:ascii="Calibri" w:hAnsi="Calibri" w:cs="Calibri"/>
          <w:color w:val="000000"/>
        </w:rPr>
        <w:t xml:space="preserve">e </w:t>
      </w:r>
      <w:r w:rsidR="00DB4FEB">
        <w:rPr>
          <w:rFonts w:ascii="Calibri" w:hAnsi="Calibri" w:cs="Calibri"/>
          <w:color w:val="000000"/>
        </w:rPr>
        <w:t>considered</w:t>
      </w:r>
      <w:r w:rsidRPr="00677BB2">
        <w:rPr>
          <w:rFonts w:ascii="Calibri" w:hAnsi="Calibri" w:cs="Calibri"/>
          <w:color w:val="000000"/>
        </w:rPr>
        <w:t xml:space="preserve"> direct methods of total within-cluster sum</w:t>
      </w:r>
      <w:r w:rsidR="006F1E83">
        <w:rPr>
          <w:rFonts w:ascii="Calibri" w:hAnsi="Calibri" w:cs="Calibri"/>
          <w:color w:val="000000"/>
        </w:rPr>
        <w:t>s</w:t>
      </w:r>
      <w:r w:rsidRPr="00677BB2">
        <w:rPr>
          <w:rFonts w:ascii="Calibri" w:hAnsi="Calibri" w:cs="Calibri"/>
          <w:color w:val="000000"/>
        </w:rPr>
        <w:t xml:space="preserve"> of squares (WSS) and average silhouette scores to guide our selection of the optimal number of clusters. WSS can be thought of as a measure of compactness, with the objective that the selected number of clusters minimizes intra-cluster variation</w:t>
      </w:r>
      <w:r w:rsidR="00DB4FEB">
        <w:rPr>
          <w:rFonts w:ascii="Calibri" w:hAnsi="Calibri" w:cs="Calibri"/>
          <w:color w:val="000000"/>
        </w:rPr>
        <w:t>.</w:t>
      </w:r>
      <w:r w:rsidRPr="00677BB2">
        <w:rPr>
          <w:rFonts w:ascii="Calibri" w:hAnsi="Calibri" w:cs="Calibri"/>
          <w:color w:val="000000"/>
        </w:rPr>
        <w:t xml:space="preserve"> Addition</w:t>
      </w:r>
      <w:r w:rsidR="00F30B56">
        <w:rPr>
          <w:rFonts w:ascii="Calibri" w:hAnsi="Calibri" w:cs="Calibri"/>
          <w:color w:val="000000"/>
        </w:rPr>
        <w:t>ally</w:t>
      </w:r>
      <w:r w:rsidR="006F1E83">
        <w:rPr>
          <w:rFonts w:ascii="Calibri" w:hAnsi="Calibri" w:cs="Calibri"/>
          <w:color w:val="000000"/>
        </w:rPr>
        <w:t>,</w:t>
      </w:r>
      <w:r w:rsidR="00F30B56">
        <w:rPr>
          <w:rFonts w:ascii="Calibri" w:hAnsi="Calibri" w:cs="Calibri"/>
          <w:color w:val="000000"/>
        </w:rPr>
        <w:t xml:space="preserve"> we validate the choice of K</w:t>
      </w:r>
      <w:r w:rsidRPr="00677BB2">
        <w:rPr>
          <w:rFonts w:ascii="Calibri" w:hAnsi="Calibri" w:cs="Calibri"/>
          <w:color w:val="000000"/>
        </w:rPr>
        <w:t xml:space="preserve"> </w:t>
      </w:r>
      <w:r w:rsidR="00E91184">
        <w:rPr>
          <w:rFonts w:ascii="Calibri" w:hAnsi="Calibri" w:cs="Calibri"/>
          <w:color w:val="000000"/>
        </w:rPr>
        <w:t xml:space="preserve">(number of clusters) </w:t>
      </w:r>
      <w:r w:rsidRPr="00677BB2">
        <w:rPr>
          <w:rFonts w:ascii="Calibri" w:hAnsi="Calibri" w:cs="Calibri"/>
          <w:color w:val="000000"/>
        </w:rPr>
        <w:t>via the silhouette method, which compares a record’s similarity (Euclidian distance) to its own cluster against other clusters. K</w:t>
      </w:r>
      <w:r w:rsidR="006F1E83">
        <w:rPr>
          <w:rFonts w:ascii="Calibri" w:hAnsi="Calibri" w:cs="Calibri"/>
          <w:color w:val="000000"/>
        </w:rPr>
        <w:t xml:space="preserve"> </w:t>
      </w:r>
      <w:r w:rsidRPr="00677BB2">
        <w:rPr>
          <w:rFonts w:ascii="Calibri" w:hAnsi="Calibri" w:cs="Calibri"/>
          <w:color w:val="000000"/>
        </w:rPr>
        <w:t xml:space="preserve">= 2 maximized average silhouette </w:t>
      </w:r>
      <w:r w:rsidR="00127444" w:rsidRPr="00677BB2">
        <w:rPr>
          <w:rFonts w:ascii="Calibri" w:hAnsi="Calibri" w:cs="Calibri"/>
          <w:color w:val="000000"/>
        </w:rPr>
        <w:t>widths but</w:t>
      </w:r>
      <w:r w:rsidR="00DB4FEB">
        <w:rPr>
          <w:rFonts w:ascii="Calibri" w:hAnsi="Calibri" w:cs="Calibri"/>
          <w:color w:val="000000"/>
        </w:rPr>
        <w:t xml:space="preserve"> implies </w:t>
      </w:r>
      <w:r w:rsidRPr="00677BB2">
        <w:rPr>
          <w:rFonts w:ascii="Calibri" w:hAnsi="Calibri" w:cs="Calibri"/>
          <w:color w:val="000000"/>
        </w:rPr>
        <w:t xml:space="preserve">a binary classification of neighborhood change that does not fit </w:t>
      </w:r>
      <w:r w:rsidR="00E91184">
        <w:rPr>
          <w:rFonts w:ascii="Calibri" w:hAnsi="Calibri" w:cs="Calibri"/>
          <w:color w:val="000000"/>
        </w:rPr>
        <w:t>our objective to classify multiple cluster trajectories.</w:t>
      </w:r>
      <w:r w:rsidRPr="00677BB2">
        <w:rPr>
          <w:rFonts w:ascii="Calibri" w:hAnsi="Calibri" w:cs="Calibri"/>
          <w:color w:val="000000"/>
        </w:rPr>
        <w:t xml:space="preserve"> </w:t>
      </w:r>
      <w:r w:rsidR="00DB4FEB">
        <w:rPr>
          <w:rFonts w:ascii="Calibri" w:hAnsi="Calibri" w:cs="Calibri"/>
          <w:color w:val="000000"/>
        </w:rPr>
        <w:t xml:space="preserve">Figure 4 displays the cluster </w:t>
      </w:r>
      <w:r w:rsidR="00F1513D">
        <w:rPr>
          <w:rFonts w:ascii="Calibri" w:hAnsi="Calibri" w:cs="Calibri"/>
          <w:color w:val="000000"/>
        </w:rPr>
        <w:t xml:space="preserve">compactness </w:t>
      </w:r>
      <w:r w:rsidR="00127444">
        <w:rPr>
          <w:rFonts w:ascii="Calibri" w:hAnsi="Calibri" w:cs="Calibri"/>
          <w:color w:val="000000"/>
        </w:rPr>
        <w:t>within the feature space of the</w:t>
      </w:r>
      <w:r w:rsidR="00DB4FEB">
        <w:rPr>
          <w:rFonts w:ascii="Calibri" w:hAnsi="Calibri" w:cs="Calibri"/>
          <w:color w:val="000000"/>
        </w:rPr>
        <w:t xml:space="preserve"> first two principal component</w:t>
      </w:r>
      <w:r w:rsidR="00E31660">
        <w:rPr>
          <w:rFonts w:ascii="Calibri" w:hAnsi="Calibri" w:cs="Calibri"/>
          <w:color w:val="000000"/>
        </w:rPr>
        <w:t>s</w:t>
      </w:r>
      <w:r w:rsidR="00F1513D">
        <w:rPr>
          <w:rFonts w:ascii="Calibri" w:hAnsi="Calibri" w:cs="Calibri"/>
          <w:color w:val="000000"/>
        </w:rPr>
        <w:t xml:space="preserve"> at varying cluster sizes (K)</w:t>
      </w:r>
      <w:r w:rsidR="00DB4FEB">
        <w:rPr>
          <w:rFonts w:ascii="Calibri" w:hAnsi="Calibri" w:cs="Calibri"/>
          <w:color w:val="000000"/>
        </w:rPr>
        <w:t xml:space="preserve">. </w:t>
      </w:r>
    </w:p>
    <w:p w14:paraId="3A4E79C5" w14:textId="04B54F52" w:rsidR="003A334F" w:rsidRDefault="00DB4FEB" w:rsidP="00E31660">
      <w:pPr>
        <w:ind w:firstLine="720"/>
        <w:rPr>
          <w:rFonts w:ascii="Calibri" w:hAnsi="Calibri" w:cs="Calibri"/>
          <w:color w:val="000000"/>
        </w:rPr>
      </w:pPr>
      <w:r>
        <w:rPr>
          <w:rFonts w:ascii="Calibri" w:hAnsi="Calibri" w:cs="Calibri"/>
          <w:color w:val="000000"/>
        </w:rPr>
        <w:t xml:space="preserve">Five clusters </w:t>
      </w:r>
      <w:r w:rsidR="00677BB2" w:rsidRPr="00677BB2">
        <w:rPr>
          <w:rFonts w:ascii="Calibri" w:hAnsi="Calibri" w:cs="Calibri"/>
          <w:color w:val="000000"/>
        </w:rPr>
        <w:t>w</w:t>
      </w:r>
      <w:r>
        <w:rPr>
          <w:rFonts w:ascii="Calibri" w:hAnsi="Calibri" w:cs="Calibri"/>
          <w:color w:val="000000"/>
        </w:rPr>
        <w:t>ere</w:t>
      </w:r>
      <w:r w:rsidR="00677BB2" w:rsidRPr="00677BB2">
        <w:rPr>
          <w:rFonts w:ascii="Calibri" w:hAnsi="Calibri" w:cs="Calibri"/>
          <w:color w:val="000000"/>
        </w:rPr>
        <w:t xml:space="preserve"> </w:t>
      </w:r>
      <w:r>
        <w:rPr>
          <w:rFonts w:ascii="Calibri" w:hAnsi="Calibri" w:cs="Calibri"/>
          <w:color w:val="000000"/>
        </w:rPr>
        <w:t xml:space="preserve">ultimately </w:t>
      </w:r>
      <w:r w:rsidR="00677BB2" w:rsidRPr="00677BB2">
        <w:rPr>
          <w:rFonts w:ascii="Calibri" w:hAnsi="Calibri" w:cs="Calibri"/>
          <w:color w:val="000000"/>
        </w:rPr>
        <w:t xml:space="preserve">chosen </w:t>
      </w:r>
      <w:r>
        <w:rPr>
          <w:rFonts w:ascii="Calibri" w:hAnsi="Calibri" w:cs="Calibri"/>
          <w:color w:val="000000"/>
        </w:rPr>
        <w:t>to</w:t>
      </w:r>
      <w:r w:rsidR="00677BB2" w:rsidRPr="00677BB2">
        <w:rPr>
          <w:rFonts w:ascii="Calibri" w:hAnsi="Calibri" w:cs="Calibri"/>
          <w:color w:val="000000"/>
        </w:rPr>
        <w:t xml:space="preserve"> </w:t>
      </w:r>
      <w:r>
        <w:rPr>
          <w:rFonts w:ascii="Calibri" w:hAnsi="Calibri" w:cs="Calibri"/>
          <w:color w:val="000000"/>
        </w:rPr>
        <w:t>balance performance and the distinguishable patterns associated of neighborhood change.</w:t>
      </w:r>
      <w:r w:rsidR="00E31660">
        <w:rPr>
          <w:rFonts w:ascii="Calibri" w:hAnsi="Calibri" w:cs="Calibri"/>
          <w:color w:val="000000"/>
        </w:rPr>
        <w:t xml:space="preserve"> The selection of 5 clusters is also consistent with prior neighborhood change studies such as Owens et al. who use 5-7 clusters.</w:t>
      </w:r>
      <w:r>
        <w:rPr>
          <w:rFonts w:ascii="Calibri" w:hAnsi="Calibri" w:cs="Calibri"/>
          <w:color w:val="000000"/>
        </w:rPr>
        <w:t xml:space="preserve"> Because</w:t>
      </w:r>
      <w:r w:rsidR="00E31660">
        <w:rPr>
          <w:rFonts w:ascii="Calibri" w:hAnsi="Calibri" w:cs="Calibri"/>
          <w:color w:val="000000"/>
        </w:rPr>
        <w:t xml:space="preserve"> </w:t>
      </w:r>
      <w:r>
        <w:rPr>
          <w:rFonts w:ascii="Calibri" w:hAnsi="Calibri" w:cs="Calibri"/>
          <w:color w:val="000000"/>
        </w:rPr>
        <w:t>cluster size selection</w:t>
      </w:r>
      <w:r w:rsidR="00E31660">
        <w:rPr>
          <w:rFonts w:ascii="Calibri" w:hAnsi="Calibri" w:cs="Calibri"/>
          <w:color w:val="000000"/>
        </w:rPr>
        <w:t xml:space="preserve"> is susceptible to</w:t>
      </w:r>
      <w:r>
        <w:rPr>
          <w:rFonts w:ascii="Calibri" w:hAnsi="Calibri" w:cs="Calibri"/>
          <w:color w:val="000000"/>
        </w:rPr>
        <w:t xml:space="preserve"> </w:t>
      </w:r>
      <w:r w:rsidR="00E31660">
        <w:rPr>
          <w:rFonts w:ascii="Calibri" w:hAnsi="Calibri" w:cs="Calibri"/>
          <w:color w:val="000000"/>
        </w:rPr>
        <w:t xml:space="preserve">some degree of </w:t>
      </w:r>
      <w:r>
        <w:rPr>
          <w:rFonts w:ascii="Calibri" w:hAnsi="Calibri" w:cs="Calibri"/>
          <w:color w:val="000000"/>
        </w:rPr>
        <w:t>subjectiv</w:t>
      </w:r>
      <w:r w:rsidR="00E31660">
        <w:rPr>
          <w:rFonts w:ascii="Calibri" w:hAnsi="Calibri" w:cs="Calibri"/>
          <w:color w:val="000000"/>
        </w:rPr>
        <w:t>ity</w:t>
      </w:r>
      <w:r>
        <w:rPr>
          <w:rFonts w:ascii="Calibri" w:hAnsi="Calibri" w:cs="Calibri"/>
          <w:color w:val="000000"/>
        </w:rPr>
        <w:t>, we map</w:t>
      </w:r>
      <w:r w:rsidR="00F1513D">
        <w:rPr>
          <w:rFonts w:ascii="Calibri" w:hAnsi="Calibri" w:cs="Calibri"/>
          <w:color w:val="000000"/>
        </w:rPr>
        <w:t>ped</w:t>
      </w:r>
      <w:r>
        <w:rPr>
          <w:rFonts w:ascii="Calibri" w:hAnsi="Calibri" w:cs="Calibri"/>
          <w:color w:val="000000"/>
        </w:rPr>
        <w:t xml:space="preserve"> the results at varying cluster size specifications </w:t>
      </w:r>
      <w:r w:rsidR="00F1513D">
        <w:rPr>
          <w:rFonts w:ascii="Calibri" w:hAnsi="Calibri" w:cs="Calibri"/>
          <w:color w:val="000000"/>
        </w:rPr>
        <w:t>(Figure 9). These results exemplify</w:t>
      </w:r>
      <w:r>
        <w:rPr>
          <w:rFonts w:ascii="Calibri" w:hAnsi="Calibri" w:cs="Calibri"/>
          <w:color w:val="000000"/>
        </w:rPr>
        <w:t xml:space="preserve"> the robustness</w:t>
      </w:r>
      <w:r w:rsidR="00677BB2" w:rsidRPr="00677BB2">
        <w:rPr>
          <w:rFonts w:ascii="Calibri" w:hAnsi="Calibri" w:cs="Calibri"/>
          <w:color w:val="000000"/>
        </w:rPr>
        <w:t xml:space="preserve"> </w:t>
      </w:r>
      <w:r>
        <w:rPr>
          <w:rFonts w:ascii="Calibri" w:hAnsi="Calibri" w:cs="Calibri"/>
          <w:color w:val="000000"/>
        </w:rPr>
        <w:t xml:space="preserve">of </w:t>
      </w:r>
      <w:r w:rsidR="00F1513D">
        <w:rPr>
          <w:rFonts w:ascii="Calibri" w:hAnsi="Calibri" w:cs="Calibri"/>
          <w:color w:val="000000"/>
        </w:rPr>
        <w:t>a distinct gentrification typology irrespective of the cluster size specification</w:t>
      </w:r>
      <w:r w:rsidR="00E31660">
        <w:rPr>
          <w:rFonts w:ascii="Calibri" w:hAnsi="Calibri" w:cs="Calibri"/>
          <w:color w:val="000000"/>
        </w:rPr>
        <w:t xml:space="preserve">. </w:t>
      </w:r>
    </w:p>
    <w:p w14:paraId="1EE112F1" w14:textId="13038ECC" w:rsidR="00677BB2" w:rsidRDefault="00677BB2" w:rsidP="00677BB2">
      <w:pPr>
        <w:rPr>
          <w:rFonts w:ascii="Calibri" w:hAnsi="Calibri" w:cs="Calibri"/>
          <w:color w:val="000000"/>
        </w:rPr>
      </w:pPr>
    </w:p>
    <w:p w14:paraId="3BA07A0C" w14:textId="2488ECF4" w:rsidR="00141BEC" w:rsidRDefault="00063D26" w:rsidP="003163AA">
      <w:pPr>
        <w:keepNext/>
      </w:pPr>
      <w:r w:rsidRPr="0050169B">
        <w:rPr>
          <w:rFonts w:cstheme="minorHAnsi"/>
          <w:noProof/>
        </w:rPr>
        <w:lastRenderedPageBreak/>
        <w:drawing>
          <wp:inline distT="0" distB="0" distL="0" distR="0" wp14:anchorId="06DD8431" wp14:editId="38AF5724">
            <wp:extent cx="6589410" cy="4392940"/>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9410" cy="4392940"/>
                    </a:xfrm>
                    <a:prstGeom prst="rect">
                      <a:avLst/>
                    </a:prstGeom>
                  </pic:spPr>
                </pic:pic>
              </a:graphicData>
            </a:graphic>
          </wp:inline>
        </w:drawing>
      </w:r>
    </w:p>
    <w:p w14:paraId="6F139791" w14:textId="615DF9F5" w:rsidR="00F30B56" w:rsidRPr="00525903" w:rsidRDefault="00141BEC" w:rsidP="00E91184">
      <w:pPr>
        <w:pStyle w:val="Caption"/>
        <w:jc w:val="center"/>
        <w:rPr>
          <w:sz w:val="20"/>
          <w:szCs w:val="20"/>
        </w:rPr>
      </w:pPr>
      <w:r w:rsidRPr="00525903">
        <w:rPr>
          <w:sz w:val="20"/>
          <w:szCs w:val="20"/>
        </w:rPr>
        <w:t xml:space="preserve">Figure </w:t>
      </w:r>
      <w:r w:rsidRPr="00525903">
        <w:rPr>
          <w:sz w:val="20"/>
          <w:szCs w:val="20"/>
        </w:rPr>
        <w:fldChar w:fldCharType="begin"/>
      </w:r>
      <w:r w:rsidRPr="00525903">
        <w:rPr>
          <w:sz w:val="20"/>
          <w:szCs w:val="20"/>
        </w:rPr>
        <w:instrText xml:space="preserve"> SEQ Figure \* ARABIC </w:instrText>
      </w:r>
      <w:r w:rsidRPr="00525903">
        <w:rPr>
          <w:sz w:val="20"/>
          <w:szCs w:val="20"/>
        </w:rPr>
        <w:fldChar w:fldCharType="separate"/>
      </w:r>
      <w:r w:rsidR="0041367A" w:rsidRPr="00525903">
        <w:rPr>
          <w:noProof/>
          <w:sz w:val="20"/>
          <w:szCs w:val="20"/>
        </w:rPr>
        <w:t>3</w:t>
      </w:r>
      <w:r w:rsidRPr="00525903">
        <w:rPr>
          <w:sz w:val="20"/>
          <w:szCs w:val="20"/>
        </w:rPr>
        <w:fldChar w:fldCharType="end"/>
      </w:r>
      <w:r w:rsidRPr="00525903">
        <w:rPr>
          <w:sz w:val="20"/>
          <w:szCs w:val="20"/>
        </w:rPr>
        <w:t xml:space="preserve">. Cluster geometries based on cluster size specifications. Plotted against the first two </w:t>
      </w:r>
      <w:r w:rsidR="00104350" w:rsidRPr="00525903">
        <w:rPr>
          <w:sz w:val="20"/>
          <w:szCs w:val="20"/>
        </w:rPr>
        <w:t>principal</w:t>
      </w:r>
      <w:r w:rsidRPr="00525903">
        <w:rPr>
          <w:sz w:val="20"/>
          <w:szCs w:val="20"/>
        </w:rPr>
        <w:t xml:space="preserve"> components (7</w:t>
      </w:r>
      <w:r w:rsidR="008733AC" w:rsidRPr="00525903">
        <w:rPr>
          <w:sz w:val="20"/>
          <w:szCs w:val="20"/>
        </w:rPr>
        <w:t>4</w:t>
      </w:r>
      <w:r w:rsidRPr="00525903">
        <w:rPr>
          <w:sz w:val="20"/>
          <w:szCs w:val="20"/>
        </w:rPr>
        <w:t>% of total data variance).</w:t>
      </w:r>
    </w:p>
    <w:p w14:paraId="6F9BC014" w14:textId="48EEDBB0" w:rsidR="00AB26E0" w:rsidRPr="00E31660" w:rsidRDefault="00AB26E0" w:rsidP="00E31660">
      <w:pPr>
        <w:pStyle w:val="Heading2"/>
      </w:pPr>
      <w:r w:rsidRPr="00570AE4">
        <w:t xml:space="preserve">K-Color Join Count Statistic </w:t>
      </w:r>
    </w:p>
    <w:p w14:paraId="4524AEE9" w14:textId="17C86B8E" w:rsidR="00AB26E0" w:rsidRDefault="00A55550" w:rsidP="00F30B56">
      <w:pPr>
        <w:autoSpaceDE w:val="0"/>
        <w:autoSpaceDN w:val="0"/>
        <w:adjustRightInd w:val="0"/>
        <w:spacing w:after="0" w:line="240" w:lineRule="auto"/>
        <w:ind w:firstLine="576"/>
        <w:rPr>
          <w:rFonts w:ascii="Calibri" w:hAnsi="Calibri" w:cs="Calibri"/>
          <w:color w:val="000000"/>
        </w:rPr>
      </w:pPr>
      <w:r>
        <w:rPr>
          <w:rFonts w:ascii="Calibri" w:hAnsi="Calibri" w:cs="Calibri"/>
          <w:color w:val="000000"/>
        </w:rPr>
        <w:t>The s</w:t>
      </w:r>
      <w:r w:rsidR="00426F1C">
        <w:rPr>
          <w:rFonts w:ascii="Calibri" w:hAnsi="Calibri" w:cs="Calibri"/>
          <w:color w:val="000000"/>
        </w:rPr>
        <w:t>patial</w:t>
      </w:r>
      <w:r w:rsidR="00AB26E0" w:rsidRPr="00570AE4">
        <w:rPr>
          <w:rFonts w:ascii="Calibri" w:hAnsi="Calibri" w:cs="Calibri"/>
          <w:color w:val="000000"/>
        </w:rPr>
        <w:t xml:space="preserve"> independence of the</w:t>
      </w:r>
      <w:r>
        <w:rPr>
          <w:rFonts w:ascii="Calibri" w:hAnsi="Calibri" w:cs="Calibri"/>
          <w:color w:val="000000"/>
        </w:rPr>
        <w:t xml:space="preserve"> five</w:t>
      </w:r>
      <w:r w:rsidR="00AB26E0" w:rsidRPr="00570AE4">
        <w:rPr>
          <w:rFonts w:ascii="Calibri" w:hAnsi="Calibri" w:cs="Calibri"/>
          <w:color w:val="000000"/>
        </w:rPr>
        <w:t xml:space="preserve"> categorical </w:t>
      </w:r>
      <w:r w:rsidR="00426F1C">
        <w:rPr>
          <w:rFonts w:ascii="Calibri" w:hAnsi="Calibri" w:cs="Calibri"/>
          <w:color w:val="000000"/>
        </w:rPr>
        <w:t>neighborhood change typologies was evaluated</w:t>
      </w:r>
      <w:r w:rsidR="005D4540">
        <w:rPr>
          <w:rFonts w:ascii="Calibri" w:hAnsi="Calibri" w:cs="Calibri"/>
          <w:color w:val="000000"/>
        </w:rPr>
        <w:t xml:space="preserve"> using the K</w:t>
      </w:r>
      <w:r w:rsidR="00AB26E0" w:rsidRPr="00570AE4">
        <w:rPr>
          <w:rFonts w:ascii="Calibri" w:hAnsi="Calibri" w:cs="Calibri"/>
          <w:color w:val="000000"/>
        </w:rPr>
        <w:t xml:space="preserve">-color join count statistic </w:t>
      </w:r>
      <w:r w:rsidR="00426F1C">
        <w:rPr>
          <w:rFonts w:ascii="Calibri" w:hAnsi="Calibri" w:cs="Calibri"/>
          <w:color w:val="000000"/>
        </w:rPr>
        <w:t>(</w:t>
      </w:r>
      <w:r w:rsidR="00AB26E0" w:rsidRPr="00570AE4">
        <w:rPr>
          <w:rFonts w:ascii="Calibri" w:hAnsi="Calibri" w:cs="Calibri"/>
          <w:color w:val="000000"/>
        </w:rPr>
        <w:t>Dacey</w:t>
      </w:r>
      <w:r w:rsidR="00426F1C">
        <w:rPr>
          <w:rFonts w:ascii="Calibri" w:hAnsi="Calibri" w:cs="Calibri"/>
          <w:color w:val="000000"/>
        </w:rPr>
        <w:t>,</w:t>
      </w:r>
      <w:r w:rsidR="00AB26E0" w:rsidRPr="00570AE4">
        <w:rPr>
          <w:rFonts w:ascii="Calibri" w:hAnsi="Calibri" w:cs="Calibri"/>
          <w:color w:val="000000"/>
        </w:rPr>
        <w:t xml:space="preserve"> 1968). This statistical test considers a null hypothesis that the observed distribution of observations </w:t>
      </w:r>
      <w:r w:rsidR="006F1E83">
        <w:rPr>
          <w:rFonts w:ascii="Calibri" w:hAnsi="Calibri" w:cs="Calibri"/>
          <w:color w:val="000000"/>
        </w:rPr>
        <w:t>is</w:t>
      </w:r>
      <w:r w:rsidR="006F1E83" w:rsidRPr="00570AE4">
        <w:rPr>
          <w:rFonts w:ascii="Calibri" w:hAnsi="Calibri" w:cs="Calibri"/>
          <w:color w:val="000000"/>
        </w:rPr>
        <w:t xml:space="preserve"> </w:t>
      </w:r>
      <w:r w:rsidR="00AB26E0" w:rsidRPr="00570AE4">
        <w:rPr>
          <w:rFonts w:ascii="Calibri" w:hAnsi="Calibri" w:cs="Calibri"/>
          <w:color w:val="000000"/>
        </w:rPr>
        <w:t xml:space="preserve">random. 10,000 Monte Carlo permutations were </w:t>
      </w:r>
      <w:r>
        <w:rPr>
          <w:rFonts w:ascii="Calibri" w:hAnsi="Calibri" w:cs="Calibri"/>
          <w:color w:val="000000"/>
        </w:rPr>
        <w:t>performed</w:t>
      </w:r>
      <w:r w:rsidR="00AB26E0" w:rsidRPr="00570AE4">
        <w:rPr>
          <w:rFonts w:ascii="Calibri" w:hAnsi="Calibri" w:cs="Calibri"/>
          <w:color w:val="000000"/>
        </w:rPr>
        <w:t xml:space="preserve"> using the “joincount.mc” function in the “</w:t>
      </w:r>
      <w:proofErr w:type="spellStart"/>
      <w:r w:rsidR="00AB26E0" w:rsidRPr="00570AE4">
        <w:rPr>
          <w:rFonts w:ascii="Calibri" w:hAnsi="Calibri" w:cs="Calibri"/>
          <w:color w:val="000000"/>
        </w:rPr>
        <w:t>spded</w:t>
      </w:r>
      <w:proofErr w:type="spellEnd"/>
      <w:r w:rsidR="00AB26E0" w:rsidRPr="00570AE4">
        <w:rPr>
          <w:rFonts w:ascii="Calibri" w:hAnsi="Calibri" w:cs="Calibri"/>
          <w:color w:val="000000"/>
        </w:rPr>
        <w:t>” R package (</w:t>
      </w:r>
      <w:proofErr w:type="spellStart"/>
      <w:r w:rsidR="00AB26E0" w:rsidRPr="00570AE4">
        <w:rPr>
          <w:rFonts w:ascii="Calibri" w:hAnsi="Calibri" w:cs="Calibri"/>
          <w:color w:val="000000"/>
        </w:rPr>
        <w:t>Bivand</w:t>
      </w:r>
      <w:proofErr w:type="spellEnd"/>
      <w:r w:rsidR="00426F1C">
        <w:rPr>
          <w:rFonts w:ascii="Calibri" w:hAnsi="Calibri" w:cs="Calibri"/>
          <w:color w:val="000000"/>
        </w:rPr>
        <w:t>,</w:t>
      </w:r>
      <w:r w:rsidR="00AB26E0" w:rsidRPr="00570AE4">
        <w:rPr>
          <w:rFonts w:ascii="Calibri" w:hAnsi="Calibri" w:cs="Calibri"/>
          <w:color w:val="000000"/>
        </w:rPr>
        <w:t xml:space="preserve"> 2019). </w:t>
      </w:r>
    </w:p>
    <w:p w14:paraId="2B56ED00" w14:textId="77777777" w:rsidR="00AB26E0" w:rsidRPr="00570AE4" w:rsidRDefault="00AB26E0" w:rsidP="00AB26E0">
      <w:pPr>
        <w:autoSpaceDE w:val="0"/>
        <w:autoSpaceDN w:val="0"/>
        <w:adjustRightInd w:val="0"/>
        <w:spacing w:after="0" w:line="240" w:lineRule="auto"/>
        <w:rPr>
          <w:rFonts w:ascii="Calibri" w:hAnsi="Calibri" w:cs="Calibri"/>
          <w:color w:val="000000"/>
        </w:rPr>
      </w:pPr>
    </w:p>
    <w:p w14:paraId="151C9B87" w14:textId="150767C5" w:rsidR="00AB26E0" w:rsidRPr="0050169B" w:rsidRDefault="00426F1C" w:rsidP="001F6FAE">
      <w:pPr>
        <w:autoSpaceDE w:val="0"/>
        <w:autoSpaceDN w:val="0"/>
        <w:adjustRightInd w:val="0"/>
        <w:spacing w:after="0" w:line="240" w:lineRule="auto"/>
        <w:rPr>
          <w:rFonts w:cstheme="minorHAnsi"/>
        </w:rPr>
      </w:pPr>
      <w:r>
        <w:rPr>
          <w:rFonts w:ascii="Calibri" w:hAnsi="Calibri" w:cs="Calibri"/>
          <w:color w:val="000000"/>
        </w:rPr>
        <w:t xml:space="preserve">Spatial </w:t>
      </w:r>
      <w:r w:rsidR="00362FC6">
        <w:rPr>
          <w:rFonts w:ascii="Calibri" w:hAnsi="Calibri" w:cs="Calibri"/>
          <w:color w:val="000000"/>
        </w:rPr>
        <w:t xml:space="preserve">contiguity </w:t>
      </w:r>
      <w:r w:rsidR="00A55550">
        <w:rPr>
          <w:rFonts w:ascii="Calibri" w:hAnsi="Calibri" w:cs="Calibri"/>
          <w:color w:val="000000"/>
        </w:rPr>
        <w:t>wa</w:t>
      </w:r>
      <w:r w:rsidR="00362FC6">
        <w:rPr>
          <w:rFonts w:ascii="Calibri" w:hAnsi="Calibri" w:cs="Calibri"/>
          <w:color w:val="000000"/>
        </w:rPr>
        <w:t xml:space="preserve">s </w:t>
      </w:r>
      <w:r>
        <w:rPr>
          <w:rFonts w:ascii="Calibri" w:hAnsi="Calibri" w:cs="Calibri"/>
          <w:color w:val="000000"/>
        </w:rPr>
        <w:t>formally defined</w:t>
      </w:r>
      <w:r w:rsidR="00AB26E0" w:rsidRPr="00570AE4">
        <w:rPr>
          <w:rFonts w:ascii="Calibri" w:hAnsi="Calibri" w:cs="Calibri"/>
          <w:color w:val="000000"/>
        </w:rPr>
        <w:t xml:space="preserve"> </w:t>
      </w:r>
      <w:r w:rsidR="00A55550">
        <w:rPr>
          <w:rFonts w:ascii="Calibri" w:hAnsi="Calibri" w:cs="Calibri"/>
          <w:color w:val="000000"/>
        </w:rPr>
        <w:t>using both first and second-order</w:t>
      </w:r>
      <w:r w:rsidR="00AB26E0" w:rsidRPr="00570AE4">
        <w:rPr>
          <w:rFonts w:ascii="Calibri" w:hAnsi="Calibri" w:cs="Calibri"/>
          <w:color w:val="000000"/>
        </w:rPr>
        <w:t xml:space="preserve"> queen</w:t>
      </w:r>
      <w:r w:rsidR="00A55550">
        <w:rPr>
          <w:rFonts w:ascii="Calibri" w:hAnsi="Calibri" w:cs="Calibri"/>
          <w:color w:val="000000"/>
        </w:rPr>
        <w:t>’s</w:t>
      </w:r>
      <w:r w:rsidR="00AB26E0" w:rsidRPr="00570AE4">
        <w:rPr>
          <w:rFonts w:ascii="Calibri" w:hAnsi="Calibri" w:cs="Calibri"/>
          <w:color w:val="000000"/>
        </w:rPr>
        <w:t xml:space="preserve"> </w:t>
      </w:r>
      <w:r w:rsidR="00A55550">
        <w:rPr>
          <w:rFonts w:ascii="Calibri" w:hAnsi="Calibri" w:cs="Calibri"/>
          <w:color w:val="000000"/>
        </w:rPr>
        <w:t>case</w:t>
      </w:r>
      <w:r>
        <w:rPr>
          <w:rStyle w:val="FootnoteReference"/>
          <w:rFonts w:ascii="Calibri" w:hAnsi="Calibri" w:cs="Calibri"/>
          <w:color w:val="000000"/>
        </w:rPr>
        <w:footnoteReference w:id="8"/>
      </w:r>
      <w:r w:rsidR="00A55550">
        <w:rPr>
          <w:rFonts w:ascii="Calibri" w:hAnsi="Calibri" w:cs="Calibri"/>
          <w:color w:val="000000"/>
        </w:rPr>
        <w:t xml:space="preserve"> adjacency matrices</w:t>
      </w:r>
      <w:r w:rsidR="00AB26E0" w:rsidRPr="00570AE4">
        <w:rPr>
          <w:rFonts w:ascii="Calibri" w:hAnsi="Calibri" w:cs="Calibri"/>
          <w:color w:val="000000"/>
        </w:rPr>
        <w:t xml:space="preserve">. </w:t>
      </w:r>
      <w:r>
        <w:rPr>
          <w:rFonts w:ascii="Calibri" w:hAnsi="Calibri" w:cs="Calibri"/>
          <w:color w:val="000000"/>
        </w:rPr>
        <w:t>Fi</w:t>
      </w:r>
      <w:r w:rsidR="00AB26E0" w:rsidRPr="00570AE4">
        <w:rPr>
          <w:rFonts w:ascii="Calibri" w:hAnsi="Calibri" w:cs="Calibri"/>
          <w:color w:val="000000"/>
        </w:rPr>
        <w:t>rst-order queen</w:t>
      </w:r>
      <w:r>
        <w:rPr>
          <w:rFonts w:ascii="Calibri" w:hAnsi="Calibri" w:cs="Calibri"/>
          <w:color w:val="000000"/>
        </w:rPr>
        <w:t>’s</w:t>
      </w:r>
      <w:r w:rsidR="00AB26E0" w:rsidRPr="00570AE4">
        <w:rPr>
          <w:rFonts w:ascii="Calibri" w:hAnsi="Calibri" w:cs="Calibri"/>
          <w:color w:val="000000"/>
        </w:rPr>
        <w:t xml:space="preserve"> </w:t>
      </w:r>
      <w:r w:rsidR="00362FC6">
        <w:rPr>
          <w:rFonts w:ascii="Calibri" w:hAnsi="Calibri" w:cs="Calibri"/>
          <w:color w:val="000000"/>
        </w:rPr>
        <w:t>c</w:t>
      </w:r>
      <w:r w:rsidR="00A55550">
        <w:rPr>
          <w:rFonts w:ascii="Calibri" w:hAnsi="Calibri" w:cs="Calibri"/>
          <w:color w:val="000000"/>
        </w:rPr>
        <w:t>ase</w:t>
      </w:r>
      <w:r>
        <w:rPr>
          <w:rFonts w:ascii="Calibri" w:hAnsi="Calibri" w:cs="Calibri"/>
          <w:color w:val="000000"/>
        </w:rPr>
        <w:t xml:space="preserve"> classifies</w:t>
      </w:r>
      <w:r w:rsidR="00AB26E0" w:rsidRPr="00570AE4">
        <w:rPr>
          <w:rFonts w:ascii="Calibri" w:hAnsi="Calibri" w:cs="Calibri"/>
          <w:color w:val="000000"/>
        </w:rPr>
        <w:t xml:space="preserve"> spatial neighbors</w:t>
      </w:r>
      <w:r>
        <w:rPr>
          <w:rFonts w:ascii="Calibri" w:hAnsi="Calibri" w:cs="Calibri"/>
          <w:color w:val="000000"/>
        </w:rPr>
        <w:t xml:space="preserve"> that</w:t>
      </w:r>
      <w:r w:rsidR="00AB26E0" w:rsidRPr="00570AE4">
        <w:rPr>
          <w:rFonts w:ascii="Calibri" w:hAnsi="Calibri" w:cs="Calibri"/>
          <w:color w:val="000000"/>
        </w:rPr>
        <w:t xml:space="preserve"> share </w:t>
      </w:r>
      <w:r w:rsidR="00AB26E0" w:rsidRPr="00362FC6">
        <w:rPr>
          <w:rFonts w:ascii="Calibri" w:hAnsi="Calibri" w:cs="Calibri"/>
          <w:color w:val="000000"/>
        </w:rPr>
        <w:t>either</w:t>
      </w:r>
      <w:r w:rsidR="00AB26E0" w:rsidRPr="00570AE4">
        <w:rPr>
          <w:rFonts w:ascii="Calibri" w:hAnsi="Calibri" w:cs="Calibri"/>
          <w:color w:val="000000"/>
        </w:rPr>
        <w:t xml:space="preserve"> a common edge or common vertex</w:t>
      </w:r>
      <w:r w:rsidR="006F1E83">
        <w:rPr>
          <w:rFonts w:ascii="Calibri" w:hAnsi="Calibri" w:cs="Calibri"/>
          <w:color w:val="000000"/>
        </w:rPr>
        <w:t>,</w:t>
      </w:r>
      <w:r w:rsidR="00AB26E0" w:rsidRPr="00570AE4">
        <w:rPr>
          <w:rFonts w:ascii="Calibri" w:hAnsi="Calibri" w:cs="Calibri"/>
          <w:color w:val="000000"/>
        </w:rPr>
        <w:t xml:space="preserve"> while </w:t>
      </w:r>
      <w:r w:rsidR="00A55550">
        <w:rPr>
          <w:rFonts w:ascii="Calibri" w:hAnsi="Calibri" w:cs="Calibri"/>
          <w:color w:val="000000"/>
        </w:rPr>
        <w:t xml:space="preserve">the </w:t>
      </w:r>
      <w:r w:rsidR="00AB26E0" w:rsidRPr="00570AE4">
        <w:rPr>
          <w:rFonts w:ascii="Calibri" w:hAnsi="Calibri" w:cs="Calibri"/>
          <w:color w:val="000000"/>
        </w:rPr>
        <w:t xml:space="preserve">second-order </w:t>
      </w:r>
      <w:r w:rsidR="00A55550">
        <w:rPr>
          <w:rFonts w:ascii="Calibri" w:hAnsi="Calibri" w:cs="Calibri"/>
          <w:color w:val="000000"/>
        </w:rPr>
        <w:t xml:space="preserve">matrix </w:t>
      </w:r>
      <w:r w:rsidR="00AB26E0" w:rsidRPr="00570AE4">
        <w:rPr>
          <w:rFonts w:ascii="Calibri" w:hAnsi="Calibri" w:cs="Calibri"/>
          <w:color w:val="000000"/>
        </w:rPr>
        <w:t xml:space="preserve">extends the neighbor relationship </w:t>
      </w:r>
      <w:r w:rsidR="00362FC6">
        <w:rPr>
          <w:rFonts w:ascii="Calibri" w:hAnsi="Calibri" w:cs="Calibri"/>
          <w:color w:val="000000"/>
        </w:rPr>
        <w:t>to</w:t>
      </w:r>
      <w:r w:rsidR="00AB26E0" w:rsidRPr="00570AE4">
        <w:rPr>
          <w:rFonts w:ascii="Calibri" w:hAnsi="Calibri" w:cs="Calibri"/>
          <w:color w:val="000000"/>
        </w:rPr>
        <w:t xml:space="preserve"> includ</w:t>
      </w:r>
      <w:r w:rsidR="00362FC6">
        <w:rPr>
          <w:rFonts w:ascii="Calibri" w:hAnsi="Calibri" w:cs="Calibri"/>
          <w:color w:val="000000"/>
        </w:rPr>
        <w:t>e</w:t>
      </w:r>
      <w:r w:rsidR="00AB26E0" w:rsidRPr="00570AE4">
        <w:rPr>
          <w:rFonts w:ascii="Calibri" w:hAnsi="Calibri" w:cs="Calibri"/>
          <w:color w:val="000000"/>
        </w:rPr>
        <w:t xml:space="preserve"> </w:t>
      </w:r>
      <w:r w:rsidR="00DE3119">
        <w:rPr>
          <w:rFonts w:ascii="Calibri" w:hAnsi="Calibri" w:cs="Calibri"/>
          <w:color w:val="000000"/>
        </w:rPr>
        <w:t>tracts that share an edge or vertex with</w:t>
      </w:r>
      <w:r w:rsidR="00362FC6">
        <w:rPr>
          <w:rFonts w:ascii="Calibri" w:hAnsi="Calibri" w:cs="Calibri"/>
          <w:color w:val="000000"/>
        </w:rPr>
        <w:t xml:space="preserve"> first-order neighbors</w:t>
      </w:r>
      <w:r w:rsidR="00E91184">
        <w:rPr>
          <w:rFonts w:ascii="Calibri" w:hAnsi="Calibri" w:cs="Calibri"/>
          <w:color w:val="000000"/>
        </w:rPr>
        <w:t xml:space="preserve"> (neighbors of neighbors)</w:t>
      </w:r>
      <w:r>
        <w:rPr>
          <w:rFonts w:ascii="Calibri" w:hAnsi="Calibri" w:cs="Calibri"/>
          <w:color w:val="000000"/>
        </w:rPr>
        <w:t xml:space="preserve">. </w:t>
      </w:r>
      <w:r w:rsidR="00F30B56">
        <w:rPr>
          <w:rFonts w:ascii="Calibri" w:hAnsi="Calibri" w:cs="Calibri"/>
          <w:color w:val="000000"/>
        </w:rPr>
        <w:t>Figure 5</w:t>
      </w:r>
      <w:r w:rsidR="00AB26E0" w:rsidRPr="00570AE4">
        <w:rPr>
          <w:rFonts w:ascii="Calibri" w:hAnsi="Calibri" w:cs="Calibri"/>
          <w:color w:val="000000"/>
        </w:rPr>
        <w:t xml:space="preserve"> </w:t>
      </w:r>
      <w:r w:rsidR="00DE3119">
        <w:rPr>
          <w:rFonts w:ascii="Calibri" w:hAnsi="Calibri" w:cs="Calibri"/>
          <w:color w:val="000000"/>
        </w:rPr>
        <w:t>maps the</w:t>
      </w:r>
      <w:r w:rsidR="00AB26E0" w:rsidRPr="00570AE4">
        <w:rPr>
          <w:rFonts w:ascii="Calibri" w:hAnsi="Calibri" w:cs="Calibri"/>
          <w:color w:val="000000"/>
        </w:rPr>
        <w:t xml:space="preserve"> </w:t>
      </w:r>
      <w:r w:rsidR="00DE3119" w:rsidRPr="00570AE4">
        <w:rPr>
          <w:rFonts w:ascii="Calibri" w:hAnsi="Calibri" w:cs="Calibri"/>
          <w:color w:val="000000"/>
        </w:rPr>
        <w:t>first and second-order</w:t>
      </w:r>
      <w:r w:rsidR="00AB26E0" w:rsidRPr="00570AE4">
        <w:rPr>
          <w:rFonts w:ascii="Calibri" w:hAnsi="Calibri" w:cs="Calibri"/>
          <w:color w:val="000000"/>
        </w:rPr>
        <w:t xml:space="preserve"> adjacency matrices </w:t>
      </w:r>
      <w:r w:rsidR="00DE3119">
        <w:rPr>
          <w:rFonts w:ascii="Calibri" w:hAnsi="Calibri" w:cs="Calibri"/>
          <w:color w:val="000000"/>
        </w:rPr>
        <w:t>for census tracts in Davidson County</w:t>
      </w:r>
      <w:r w:rsidR="00AB26E0" w:rsidRPr="00570AE4">
        <w:rPr>
          <w:rFonts w:ascii="Calibri" w:hAnsi="Calibri" w:cs="Calibri"/>
          <w:color w:val="000000"/>
        </w:rPr>
        <w:t xml:space="preserve">. </w:t>
      </w:r>
      <w:r w:rsidR="00A55550">
        <w:rPr>
          <w:rFonts w:ascii="Calibri" w:hAnsi="Calibri" w:cs="Calibri"/>
          <w:color w:val="000000"/>
        </w:rPr>
        <w:t>F</w:t>
      </w:r>
      <w:r w:rsidR="00AB26E0" w:rsidRPr="00570AE4">
        <w:rPr>
          <w:rFonts w:ascii="Calibri" w:hAnsi="Calibri" w:cs="Calibri"/>
          <w:color w:val="000000"/>
        </w:rPr>
        <w:t xml:space="preserve">irst-order contiguity is a more localized measurement of adjacent neighbors with an average of </w:t>
      </w:r>
      <w:r w:rsidR="00E91184">
        <w:rPr>
          <w:rFonts w:ascii="Calibri" w:hAnsi="Calibri" w:cs="Calibri"/>
          <w:color w:val="000000"/>
        </w:rPr>
        <w:t>6</w:t>
      </w:r>
      <w:r w:rsidR="00AB26E0" w:rsidRPr="00570AE4">
        <w:rPr>
          <w:rFonts w:ascii="Calibri" w:hAnsi="Calibri" w:cs="Calibri"/>
          <w:color w:val="000000"/>
        </w:rPr>
        <w:t xml:space="preserve"> </w:t>
      </w:r>
      <w:r w:rsidR="00DE3119">
        <w:rPr>
          <w:rFonts w:ascii="Calibri" w:hAnsi="Calibri" w:cs="Calibri"/>
          <w:color w:val="000000"/>
        </w:rPr>
        <w:t>neighbors</w:t>
      </w:r>
      <w:r w:rsidR="00E91184">
        <w:rPr>
          <w:rFonts w:ascii="Calibri" w:hAnsi="Calibri" w:cs="Calibri"/>
          <w:color w:val="000000"/>
        </w:rPr>
        <w:t xml:space="preserve"> </w:t>
      </w:r>
      <w:r w:rsidR="00AB26E0" w:rsidRPr="00570AE4">
        <w:rPr>
          <w:rFonts w:ascii="Calibri" w:hAnsi="Calibri" w:cs="Calibri"/>
          <w:color w:val="000000"/>
        </w:rPr>
        <w:t xml:space="preserve">per </w:t>
      </w:r>
      <w:r w:rsidR="00DE3119">
        <w:rPr>
          <w:rFonts w:ascii="Calibri" w:hAnsi="Calibri" w:cs="Calibri"/>
          <w:color w:val="000000"/>
        </w:rPr>
        <w:t>c</w:t>
      </w:r>
      <w:r w:rsidR="00AB26E0" w:rsidRPr="00570AE4">
        <w:rPr>
          <w:rFonts w:ascii="Calibri" w:hAnsi="Calibri" w:cs="Calibri"/>
          <w:color w:val="000000"/>
        </w:rPr>
        <w:t>ensus tract</w:t>
      </w:r>
      <w:r w:rsidR="00A55550">
        <w:rPr>
          <w:rFonts w:ascii="Calibri" w:hAnsi="Calibri" w:cs="Calibri"/>
          <w:color w:val="000000"/>
        </w:rPr>
        <w:t>, while s</w:t>
      </w:r>
      <w:r w:rsidR="00AB26E0" w:rsidRPr="00570AE4">
        <w:rPr>
          <w:rFonts w:ascii="Calibri" w:hAnsi="Calibri" w:cs="Calibri"/>
          <w:color w:val="000000"/>
        </w:rPr>
        <w:t>e</w:t>
      </w:r>
      <w:r w:rsidR="00F30B56">
        <w:rPr>
          <w:rFonts w:ascii="Calibri" w:hAnsi="Calibri" w:cs="Calibri"/>
          <w:color w:val="000000"/>
        </w:rPr>
        <w:t>cond order conti</w:t>
      </w:r>
      <w:r w:rsidR="00A55550">
        <w:rPr>
          <w:rFonts w:ascii="Calibri" w:hAnsi="Calibri" w:cs="Calibri"/>
          <w:color w:val="000000"/>
        </w:rPr>
        <w:t xml:space="preserve">guity </w:t>
      </w:r>
      <w:r w:rsidR="00DE3119">
        <w:rPr>
          <w:rFonts w:ascii="Calibri" w:hAnsi="Calibri" w:cs="Calibri"/>
          <w:color w:val="000000"/>
        </w:rPr>
        <w:t>average</w:t>
      </w:r>
      <w:r w:rsidR="00A55550">
        <w:rPr>
          <w:rFonts w:ascii="Calibri" w:hAnsi="Calibri" w:cs="Calibri"/>
          <w:color w:val="000000"/>
        </w:rPr>
        <w:t>d</w:t>
      </w:r>
      <w:r w:rsidR="00DE3119">
        <w:rPr>
          <w:rFonts w:ascii="Calibri" w:hAnsi="Calibri" w:cs="Calibri"/>
          <w:color w:val="000000"/>
        </w:rPr>
        <w:t xml:space="preserve"> </w:t>
      </w:r>
      <w:r w:rsidR="00AB26E0" w:rsidRPr="00570AE4">
        <w:rPr>
          <w:rFonts w:ascii="Calibri" w:hAnsi="Calibri" w:cs="Calibri"/>
          <w:color w:val="000000"/>
        </w:rPr>
        <w:t>18</w:t>
      </w:r>
      <w:r w:rsidR="00DE3119">
        <w:rPr>
          <w:rFonts w:ascii="Calibri" w:hAnsi="Calibri" w:cs="Calibri"/>
          <w:color w:val="000000"/>
        </w:rPr>
        <w:t xml:space="preserve"> spatial</w:t>
      </w:r>
      <w:r w:rsidR="00AB26E0" w:rsidRPr="00570AE4">
        <w:rPr>
          <w:rFonts w:ascii="Calibri" w:hAnsi="Calibri" w:cs="Calibri"/>
          <w:color w:val="000000"/>
        </w:rPr>
        <w:t xml:space="preserve"> neighbors. For sensitivity, we also examined rook’s case contiguity (requiring a shared edge); First-order rook’s case contiguity resulted in an average 5.07 links and did not affect our overall interpretation of spatial autocorrelation.</w:t>
      </w:r>
    </w:p>
    <w:p w14:paraId="05874384" w14:textId="4D6EBEC4" w:rsidR="00F30B56" w:rsidRDefault="00774217" w:rsidP="00F30B56">
      <w:pPr>
        <w:keepNext/>
        <w:autoSpaceDE w:val="0"/>
        <w:autoSpaceDN w:val="0"/>
        <w:adjustRightInd w:val="0"/>
        <w:spacing w:after="0" w:line="240" w:lineRule="auto"/>
        <w:jc w:val="center"/>
      </w:pPr>
      <w:r>
        <w:rPr>
          <w:noProof/>
        </w:rPr>
        <w:lastRenderedPageBreak/>
        <w:drawing>
          <wp:inline distT="0" distB="0" distL="0" distR="0" wp14:anchorId="0BE2DD13" wp14:editId="38517E34">
            <wp:extent cx="4648200" cy="356217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505" t="15296" r="7088" b="5960"/>
                    <a:stretch/>
                  </pic:blipFill>
                  <pic:spPr bwMode="auto">
                    <a:xfrm>
                      <a:off x="0" y="0"/>
                      <a:ext cx="4655995" cy="3568146"/>
                    </a:xfrm>
                    <a:prstGeom prst="rect">
                      <a:avLst/>
                    </a:prstGeom>
                    <a:noFill/>
                    <a:ln>
                      <a:noFill/>
                    </a:ln>
                    <a:extLst>
                      <a:ext uri="{53640926-AAD7-44D8-BBD7-CCE9431645EC}">
                        <a14:shadowObscured xmlns:a14="http://schemas.microsoft.com/office/drawing/2010/main"/>
                      </a:ext>
                    </a:extLst>
                  </pic:spPr>
                </pic:pic>
              </a:graphicData>
            </a:graphic>
          </wp:inline>
        </w:drawing>
      </w:r>
    </w:p>
    <w:p w14:paraId="7AAB228D" w14:textId="755F5533" w:rsidR="00063D26" w:rsidRPr="009E185D" w:rsidRDefault="00F30B56" w:rsidP="00E91184">
      <w:pPr>
        <w:pStyle w:val="Caption"/>
        <w:jc w:val="center"/>
        <w:rPr>
          <w:sz w:val="20"/>
          <w:szCs w:val="20"/>
        </w:rPr>
      </w:pPr>
      <w:r w:rsidRPr="009E185D">
        <w:rPr>
          <w:sz w:val="20"/>
          <w:szCs w:val="20"/>
        </w:rPr>
        <w:t xml:space="preserve">Figure </w:t>
      </w:r>
      <w:r w:rsidRPr="009E185D">
        <w:rPr>
          <w:sz w:val="20"/>
          <w:szCs w:val="20"/>
        </w:rPr>
        <w:fldChar w:fldCharType="begin"/>
      </w:r>
      <w:r w:rsidRPr="009E185D">
        <w:rPr>
          <w:sz w:val="20"/>
          <w:szCs w:val="20"/>
        </w:rPr>
        <w:instrText xml:space="preserve"> SEQ Figure \* ARABIC </w:instrText>
      </w:r>
      <w:r w:rsidRPr="009E185D">
        <w:rPr>
          <w:sz w:val="20"/>
          <w:szCs w:val="20"/>
        </w:rPr>
        <w:fldChar w:fldCharType="separate"/>
      </w:r>
      <w:r w:rsidR="0041367A" w:rsidRPr="009E185D">
        <w:rPr>
          <w:noProof/>
          <w:sz w:val="20"/>
          <w:szCs w:val="20"/>
        </w:rPr>
        <w:t>4</w:t>
      </w:r>
      <w:r w:rsidRPr="009E185D">
        <w:rPr>
          <w:sz w:val="20"/>
          <w:szCs w:val="20"/>
        </w:rPr>
        <w:fldChar w:fldCharType="end"/>
      </w:r>
      <w:r w:rsidRPr="009E185D">
        <w:rPr>
          <w:sz w:val="20"/>
          <w:szCs w:val="20"/>
        </w:rPr>
        <w:t>. Comparison of first and second-order queen's adjacency matrix and sample census tract.</w:t>
      </w:r>
      <w:r w:rsidR="00774217">
        <w:rPr>
          <w:sz w:val="20"/>
          <w:szCs w:val="20"/>
        </w:rPr>
        <w:t xml:space="preserve"> </w:t>
      </w:r>
      <w:r w:rsidR="002E2938">
        <w:rPr>
          <w:sz w:val="20"/>
          <w:szCs w:val="20"/>
        </w:rPr>
        <w:t xml:space="preserve">The inset map on the top of the figure displays the first (red) and </w:t>
      </w:r>
      <w:proofErr w:type="gramStart"/>
      <w:r w:rsidR="002E2938">
        <w:rPr>
          <w:sz w:val="20"/>
          <w:szCs w:val="20"/>
        </w:rPr>
        <w:t>second-order</w:t>
      </w:r>
      <w:proofErr w:type="gramEnd"/>
      <w:r w:rsidR="002E2938">
        <w:rPr>
          <w:sz w:val="20"/>
          <w:szCs w:val="20"/>
        </w:rPr>
        <w:t xml:space="preserve"> (blue) spatial relationships of all Davidson County census tracts. </w:t>
      </w:r>
    </w:p>
    <w:p w14:paraId="1259676C" w14:textId="77777777" w:rsidR="00677BB2" w:rsidRDefault="00420ED6" w:rsidP="00B21B78">
      <w:pPr>
        <w:pStyle w:val="Heading1"/>
      </w:pPr>
      <w:r>
        <w:t>Results</w:t>
      </w:r>
      <w:r w:rsidR="00AB26E0">
        <w:t xml:space="preserve"> and Discussion</w:t>
      </w:r>
    </w:p>
    <w:p w14:paraId="12A8CA8A" w14:textId="32E64645" w:rsidR="00FC5C4C" w:rsidRDefault="00677BB2" w:rsidP="00C42A23">
      <w:pPr>
        <w:ind w:firstLine="720"/>
        <w:rPr>
          <w:rFonts w:ascii="Calibri" w:hAnsi="Calibri" w:cs="Calibri"/>
          <w:color w:val="000000"/>
        </w:rPr>
      </w:pPr>
      <w:r w:rsidRPr="00677BB2">
        <w:rPr>
          <w:rFonts w:ascii="Calibri" w:hAnsi="Calibri" w:cs="Calibri"/>
          <w:color w:val="000000"/>
        </w:rPr>
        <w:t xml:space="preserve">We investigated neighborhood change </w:t>
      </w:r>
      <w:r w:rsidR="00E31660">
        <w:rPr>
          <w:rFonts w:ascii="Calibri" w:hAnsi="Calibri" w:cs="Calibri"/>
          <w:color w:val="000000"/>
        </w:rPr>
        <w:t xml:space="preserve">in Davidson County, TN </w:t>
      </w:r>
      <w:r w:rsidR="00B12252">
        <w:rPr>
          <w:rFonts w:ascii="Calibri" w:hAnsi="Calibri" w:cs="Calibri"/>
          <w:color w:val="000000"/>
        </w:rPr>
        <w:t>via</w:t>
      </w:r>
      <w:r w:rsidRPr="00677BB2">
        <w:rPr>
          <w:rFonts w:ascii="Calibri" w:hAnsi="Calibri" w:cs="Calibri"/>
          <w:color w:val="000000"/>
        </w:rPr>
        <w:t xml:space="preserve"> k-means clustering of </w:t>
      </w:r>
      <w:r w:rsidR="00E31660">
        <w:rPr>
          <w:rFonts w:ascii="Calibri" w:hAnsi="Calibri" w:cs="Calibri"/>
          <w:color w:val="000000"/>
        </w:rPr>
        <w:t xml:space="preserve">the </w:t>
      </w:r>
      <w:r w:rsidRPr="00677BB2">
        <w:rPr>
          <w:rFonts w:ascii="Calibri" w:hAnsi="Calibri" w:cs="Calibri"/>
          <w:color w:val="000000"/>
        </w:rPr>
        <w:t xml:space="preserve">percent change </w:t>
      </w:r>
      <w:r w:rsidR="00E31660">
        <w:rPr>
          <w:rFonts w:ascii="Calibri" w:hAnsi="Calibri" w:cs="Calibri"/>
          <w:color w:val="000000"/>
        </w:rPr>
        <w:t>of</w:t>
      </w:r>
      <w:r w:rsidRPr="00677BB2">
        <w:rPr>
          <w:rFonts w:ascii="Calibri" w:hAnsi="Calibri" w:cs="Calibri"/>
          <w:color w:val="000000"/>
        </w:rPr>
        <w:t xml:space="preserve"> six </w:t>
      </w:r>
      <w:r w:rsidR="00DE3119">
        <w:rPr>
          <w:rFonts w:ascii="Calibri" w:hAnsi="Calibri" w:cs="Calibri"/>
          <w:color w:val="000000"/>
        </w:rPr>
        <w:t>c</w:t>
      </w:r>
      <w:r w:rsidRPr="00677BB2">
        <w:rPr>
          <w:rFonts w:ascii="Calibri" w:hAnsi="Calibri" w:cs="Calibri"/>
          <w:color w:val="000000"/>
        </w:rPr>
        <w:t>ensus change variables between 2000 and 201</w:t>
      </w:r>
      <w:r w:rsidR="001C25BC">
        <w:rPr>
          <w:rFonts w:ascii="Calibri" w:hAnsi="Calibri" w:cs="Calibri"/>
          <w:color w:val="000000"/>
        </w:rPr>
        <w:t>9</w:t>
      </w:r>
      <w:r w:rsidRPr="00677BB2">
        <w:rPr>
          <w:rFonts w:ascii="Calibri" w:hAnsi="Calibri" w:cs="Calibri"/>
          <w:color w:val="000000"/>
        </w:rPr>
        <w:t xml:space="preserve">. </w:t>
      </w:r>
      <w:r w:rsidR="00E6467B">
        <w:rPr>
          <w:rFonts w:ascii="Calibri" w:hAnsi="Calibri" w:cs="Calibri"/>
          <w:color w:val="000000"/>
        </w:rPr>
        <w:t xml:space="preserve">The output of the clustering method </w:t>
      </w:r>
      <w:r w:rsidR="00E56ED8">
        <w:rPr>
          <w:rFonts w:ascii="Calibri" w:hAnsi="Calibri" w:cs="Calibri"/>
          <w:color w:val="000000"/>
        </w:rPr>
        <w:t>is</w:t>
      </w:r>
      <w:r w:rsidR="00E91184">
        <w:rPr>
          <w:rFonts w:ascii="Calibri" w:hAnsi="Calibri" w:cs="Calibri"/>
          <w:color w:val="000000"/>
        </w:rPr>
        <w:t xml:space="preserve"> then</w:t>
      </w:r>
      <w:r w:rsidR="00E6467B">
        <w:rPr>
          <w:rFonts w:ascii="Calibri" w:hAnsi="Calibri" w:cs="Calibri"/>
          <w:color w:val="000000"/>
        </w:rPr>
        <w:t xml:space="preserve"> translated to </w:t>
      </w:r>
      <w:r w:rsidR="00E91184">
        <w:rPr>
          <w:rFonts w:ascii="Calibri" w:hAnsi="Calibri" w:cs="Calibri"/>
          <w:color w:val="000000"/>
        </w:rPr>
        <w:t xml:space="preserve">recognizable </w:t>
      </w:r>
      <w:r w:rsidR="00E6467B">
        <w:rPr>
          <w:rFonts w:ascii="Calibri" w:hAnsi="Calibri" w:cs="Calibri"/>
          <w:color w:val="000000"/>
        </w:rPr>
        <w:t xml:space="preserve">neighborhood change typologies. This </w:t>
      </w:r>
      <w:r w:rsidR="00E91184">
        <w:rPr>
          <w:rFonts w:ascii="Calibri" w:hAnsi="Calibri" w:cs="Calibri"/>
          <w:color w:val="000000"/>
        </w:rPr>
        <w:t xml:space="preserve">step </w:t>
      </w:r>
      <w:r w:rsidR="00E6467B">
        <w:rPr>
          <w:rFonts w:ascii="Calibri" w:hAnsi="Calibri" w:cs="Calibri"/>
          <w:color w:val="000000"/>
        </w:rPr>
        <w:t xml:space="preserve">invariably introduces the potential </w:t>
      </w:r>
      <w:r w:rsidR="00E91184">
        <w:rPr>
          <w:rFonts w:ascii="Calibri" w:hAnsi="Calibri" w:cs="Calibri"/>
          <w:color w:val="000000"/>
        </w:rPr>
        <w:t xml:space="preserve">to leak </w:t>
      </w:r>
      <w:r w:rsidR="00E6467B">
        <w:rPr>
          <w:rFonts w:ascii="Calibri" w:hAnsi="Calibri" w:cs="Calibri"/>
          <w:color w:val="000000"/>
        </w:rPr>
        <w:t>subjectiv</w:t>
      </w:r>
      <w:r w:rsidR="00E91184">
        <w:rPr>
          <w:rFonts w:ascii="Calibri" w:hAnsi="Calibri" w:cs="Calibri"/>
          <w:color w:val="000000"/>
        </w:rPr>
        <w:t>e beliefs and/or expectations.</w:t>
      </w:r>
      <w:r w:rsidR="00E6467B">
        <w:rPr>
          <w:rFonts w:ascii="Calibri" w:hAnsi="Calibri" w:cs="Calibri"/>
          <w:color w:val="000000"/>
        </w:rPr>
        <w:t xml:space="preserve"> </w:t>
      </w:r>
      <w:r w:rsidR="00E91184">
        <w:rPr>
          <w:rFonts w:ascii="Calibri" w:hAnsi="Calibri" w:cs="Calibri"/>
          <w:color w:val="000000"/>
        </w:rPr>
        <w:t xml:space="preserve">Therefore, interpretations </w:t>
      </w:r>
      <w:r w:rsidR="00E56ED8">
        <w:rPr>
          <w:rFonts w:ascii="Calibri" w:hAnsi="Calibri" w:cs="Calibri"/>
          <w:color w:val="000000"/>
        </w:rPr>
        <w:t>follow</w:t>
      </w:r>
      <w:r w:rsidR="00B21A97">
        <w:rPr>
          <w:rFonts w:ascii="Calibri" w:hAnsi="Calibri" w:cs="Calibri"/>
          <w:color w:val="000000"/>
        </w:rPr>
        <w:t xml:space="preserve"> the</w:t>
      </w:r>
      <w:r w:rsidRPr="00677BB2">
        <w:rPr>
          <w:rFonts w:ascii="Calibri" w:hAnsi="Calibri" w:cs="Calibri"/>
          <w:color w:val="000000"/>
        </w:rPr>
        <w:t xml:space="preserve"> spatial distribution of clusters, </w:t>
      </w:r>
      <w:r w:rsidR="001C25BC">
        <w:rPr>
          <w:rFonts w:ascii="Calibri" w:hAnsi="Calibri" w:cs="Calibri"/>
          <w:color w:val="000000"/>
        </w:rPr>
        <w:t>percent change</w:t>
      </w:r>
      <w:r w:rsidRPr="00677BB2">
        <w:rPr>
          <w:rFonts w:ascii="Calibri" w:hAnsi="Calibri" w:cs="Calibri"/>
          <w:color w:val="000000"/>
        </w:rPr>
        <w:t xml:space="preserve"> statistics</w:t>
      </w:r>
      <w:r w:rsidR="001C25BC">
        <w:rPr>
          <w:rFonts w:ascii="Calibri" w:hAnsi="Calibri" w:cs="Calibri"/>
          <w:color w:val="000000"/>
        </w:rPr>
        <w:t xml:space="preserve">, </w:t>
      </w:r>
      <w:r w:rsidR="00E6467B">
        <w:rPr>
          <w:rFonts w:ascii="Calibri" w:hAnsi="Calibri" w:cs="Calibri"/>
          <w:color w:val="000000"/>
        </w:rPr>
        <w:t xml:space="preserve">and </w:t>
      </w:r>
      <w:r w:rsidR="001C25BC">
        <w:rPr>
          <w:rFonts w:ascii="Calibri" w:hAnsi="Calibri" w:cs="Calibri"/>
          <w:color w:val="000000"/>
        </w:rPr>
        <w:t>starting/ending absolute values</w:t>
      </w:r>
      <w:r w:rsidR="00E6467B">
        <w:rPr>
          <w:rFonts w:ascii="Calibri" w:hAnsi="Calibri" w:cs="Calibri"/>
          <w:color w:val="000000"/>
        </w:rPr>
        <w:t xml:space="preserve">.  Typologies are only then contextualized by local </w:t>
      </w:r>
      <w:r w:rsidRPr="00677BB2">
        <w:rPr>
          <w:rFonts w:ascii="Calibri" w:hAnsi="Calibri" w:cs="Calibri"/>
          <w:color w:val="000000"/>
        </w:rPr>
        <w:t xml:space="preserve">domain knowledge of neighborhood change </w:t>
      </w:r>
      <w:r w:rsidR="00E91184">
        <w:rPr>
          <w:rFonts w:ascii="Calibri" w:hAnsi="Calibri" w:cs="Calibri"/>
          <w:color w:val="000000"/>
        </w:rPr>
        <w:t xml:space="preserve">advanced and </w:t>
      </w:r>
      <w:r w:rsidR="00FC5C4C">
        <w:rPr>
          <w:rFonts w:ascii="Calibri" w:hAnsi="Calibri" w:cs="Calibri"/>
          <w:color w:val="000000"/>
        </w:rPr>
        <w:t xml:space="preserve">compared against current or future </w:t>
      </w:r>
      <w:r w:rsidR="00E91184">
        <w:rPr>
          <w:rFonts w:ascii="Calibri" w:hAnsi="Calibri" w:cs="Calibri"/>
          <w:color w:val="000000"/>
        </w:rPr>
        <w:t>ground-truthed</w:t>
      </w:r>
      <w:r w:rsidR="00B21A97">
        <w:rPr>
          <w:rFonts w:ascii="Calibri" w:hAnsi="Calibri" w:cs="Calibri"/>
          <w:color w:val="000000"/>
        </w:rPr>
        <w:t xml:space="preserve"> </w:t>
      </w:r>
      <w:proofErr w:type="spellStart"/>
      <w:r w:rsidR="00FC5C4C">
        <w:rPr>
          <w:rFonts w:ascii="Calibri" w:hAnsi="Calibri" w:cs="Calibri"/>
          <w:color w:val="000000"/>
        </w:rPr>
        <w:t>obervations</w:t>
      </w:r>
      <w:proofErr w:type="spellEnd"/>
      <w:r w:rsidRPr="00677BB2">
        <w:rPr>
          <w:rFonts w:ascii="Calibri" w:hAnsi="Calibri" w:cs="Calibri"/>
          <w:color w:val="000000"/>
        </w:rPr>
        <w:t>.</w:t>
      </w:r>
      <w:r w:rsidR="00B12252">
        <w:rPr>
          <w:rFonts w:ascii="Calibri" w:hAnsi="Calibri" w:cs="Calibri"/>
          <w:color w:val="000000"/>
        </w:rPr>
        <w:t xml:space="preserve"> </w:t>
      </w:r>
      <w:r w:rsidR="00B12252" w:rsidRPr="00677BB2">
        <w:rPr>
          <w:rFonts w:ascii="Calibri" w:hAnsi="Calibri" w:cs="Calibri"/>
          <w:color w:val="000000"/>
        </w:rPr>
        <w:t>Table 3 provides</w:t>
      </w:r>
      <w:r w:rsidR="00E91184">
        <w:rPr>
          <w:rFonts w:ascii="Calibri" w:hAnsi="Calibri" w:cs="Calibri"/>
          <w:color w:val="000000"/>
        </w:rPr>
        <w:t xml:space="preserve"> the context of Davidson County-wide</w:t>
      </w:r>
      <w:r w:rsidR="00B12252" w:rsidRPr="00677BB2">
        <w:rPr>
          <w:rFonts w:ascii="Calibri" w:hAnsi="Calibri" w:cs="Calibri"/>
          <w:color w:val="000000"/>
        </w:rPr>
        <w:t xml:space="preserve"> </w:t>
      </w:r>
      <w:r w:rsidR="00B12252">
        <w:rPr>
          <w:rFonts w:ascii="Calibri" w:hAnsi="Calibri" w:cs="Calibri"/>
          <w:color w:val="000000"/>
        </w:rPr>
        <w:t>change</w:t>
      </w:r>
      <w:r w:rsidR="00B12252" w:rsidRPr="00677BB2">
        <w:rPr>
          <w:rFonts w:ascii="Calibri" w:hAnsi="Calibri" w:cs="Calibri"/>
          <w:color w:val="000000"/>
        </w:rPr>
        <w:t xml:space="preserve"> summary</w:t>
      </w:r>
      <w:r w:rsidR="00B12252">
        <w:rPr>
          <w:rFonts w:ascii="Calibri" w:hAnsi="Calibri" w:cs="Calibri"/>
          <w:color w:val="000000"/>
        </w:rPr>
        <w:t xml:space="preserve"> </w:t>
      </w:r>
      <w:r w:rsidR="00B12252" w:rsidRPr="00677BB2">
        <w:rPr>
          <w:rFonts w:ascii="Calibri" w:hAnsi="Calibri" w:cs="Calibri"/>
          <w:color w:val="000000"/>
        </w:rPr>
        <w:t xml:space="preserve">statistics. </w:t>
      </w:r>
      <w:r w:rsidR="00B21A97">
        <w:rPr>
          <w:rFonts w:ascii="Calibri" w:hAnsi="Calibri" w:cs="Calibri"/>
          <w:color w:val="000000"/>
        </w:rPr>
        <w:t>These system-wide trends include an increase in both h</w:t>
      </w:r>
      <w:r w:rsidR="00B12252" w:rsidRPr="00677BB2">
        <w:rPr>
          <w:rFonts w:ascii="Calibri" w:hAnsi="Calibri" w:cs="Calibri"/>
          <w:color w:val="000000"/>
        </w:rPr>
        <w:t xml:space="preserve">ome and rent values </w:t>
      </w:r>
      <w:r w:rsidR="00B21A97">
        <w:rPr>
          <w:rFonts w:ascii="Calibri" w:hAnsi="Calibri" w:cs="Calibri"/>
          <w:color w:val="000000"/>
        </w:rPr>
        <w:t>by</w:t>
      </w:r>
      <w:r w:rsidR="00B12252" w:rsidRPr="00677BB2">
        <w:rPr>
          <w:rFonts w:ascii="Calibri" w:hAnsi="Calibri" w:cs="Calibri"/>
          <w:color w:val="000000"/>
        </w:rPr>
        <w:t xml:space="preserve"> </w:t>
      </w:r>
      <w:r w:rsidR="00B12252">
        <w:rPr>
          <w:rFonts w:ascii="Calibri" w:hAnsi="Calibri" w:cs="Calibri"/>
          <w:color w:val="000000"/>
        </w:rPr>
        <w:t>28</w:t>
      </w:r>
      <w:r w:rsidR="00B12252" w:rsidRPr="00677BB2">
        <w:rPr>
          <w:rFonts w:ascii="Calibri" w:hAnsi="Calibri" w:cs="Calibri"/>
          <w:color w:val="000000"/>
        </w:rPr>
        <w:t xml:space="preserve"> and </w:t>
      </w:r>
      <w:r w:rsidR="00B12252">
        <w:rPr>
          <w:rFonts w:ascii="Calibri" w:hAnsi="Calibri" w:cs="Calibri"/>
          <w:color w:val="000000"/>
        </w:rPr>
        <w:t>20</w:t>
      </w:r>
      <w:r w:rsidR="00B12252" w:rsidRPr="00677BB2">
        <w:rPr>
          <w:rFonts w:ascii="Calibri" w:hAnsi="Calibri" w:cs="Calibri"/>
          <w:color w:val="000000"/>
        </w:rPr>
        <w:t xml:space="preserve"> percent</w:t>
      </w:r>
      <w:r w:rsidR="006E6FD5">
        <w:rPr>
          <w:rFonts w:ascii="Calibri" w:hAnsi="Calibri" w:cs="Calibri"/>
          <w:color w:val="000000"/>
        </w:rPr>
        <w:t>, respectively</w:t>
      </w:r>
      <w:r w:rsidR="00B12252">
        <w:rPr>
          <w:rFonts w:ascii="Calibri" w:hAnsi="Calibri" w:cs="Calibri"/>
          <w:color w:val="000000"/>
        </w:rPr>
        <w:t>. I</w:t>
      </w:r>
      <w:r w:rsidR="00B12252" w:rsidRPr="00677BB2">
        <w:rPr>
          <w:rFonts w:ascii="Calibri" w:hAnsi="Calibri" w:cs="Calibri"/>
          <w:color w:val="000000"/>
        </w:rPr>
        <w:t xml:space="preserve">nflation-adjusted household income </w:t>
      </w:r>
      <w:r w:rsidR="00B12252">
        <w:rPr>
          <w:rFonts w:ascii="Calibri" w:hAnsi="Calibri" w:cs="Calibri"/>
          <w:color w:val="000000"/>
        </w:rPr>
        <w:t>increased by less than</w:t>
      </w:r>
      <w:r w:rsidR="00B12252" w:rsidRPr="00677BB2">
        <w:rPr>
          <w:rFonts w:ascii="Calibri" w:hAnsi="Calibri" w:cs="Calibri"/>
          <w:color w:val="000000"/>
        </w:rPr>
        <w:t xml:space="preserve"> </w:t>
      </w:r>
      <w:r w:rsidR="00B12252">
        <w:rPr>
          <w:rFonts w:ascii="Calibri" w:hAnsi="Calibri" w:cs="Calibri"/>
          <w:color w:val="000000"/>
        </w:rPr>
        <w:t>one</w:t>
      </w:r>
      <w:r w:rsidR="00B12252" w:rsidRPr="00677BB2">
        <w:rPr>
          <w:rFonts w:ascii="Calibri" w:hAnsi="Calibri" w:cs="Calibri"/>
          <w:color w:val="000000"/>
        </w:rPr>
        <w:t xml:space="preserve"> percent</w:t>
      </w:r>
      <w:r w:rsidR="00B12252">
        <w:rPr>
          <w:rFonts w:ascii="Calibri" w:hAnsi="Calibri" w:cs="Calibri"/>
          <w:color w:val="000000"/>
        </w:rPr>
        <w:t>, while mu</w:t>
      </w:r>
      <w:r w:rsidR="00B12252" w:rsidRPr="00677BB2">
        <w:rPr>
          <w:rFonts w:ascii="Calibri" w:hAnsi="Calibri" w:cs="Calibri"/>
          <w:color w:val="000000"/>
        </w:rPr>
        <w:t xml:space="preserve">lti-unit housing fell by </w:t>
      </w:r>
      <w:r w:rsidR="00B12252">
        <w:rPr>
          <w:rFonts w:ascii="Calibri" w:hAnsi="Calibri" w:cs="Calibri"/>
          <w:color w:val="000000"/>
        </w:rPr>
        <w:t>less than one percent</w:t>
      </w:r>
      <w:r w:rsidR="00B12252" w:rsidRPr="00677BB2">
        <w:rPr>
          <w:rFonts w:ascii="Calibri" w:hAnsi="Calibri" w:cs="Calibri"/>
          <w:color w:val="000000"/>
        </w:rPr>
        <w:t xml:space="preserve">. </w:t>
      </w:r>
      <w:r w:rsidR="00B12252">
        <w:rPr>
          <w:rFonts w:ascii="Calibri" w:hAnsi="Calibri" w:cs="Calibri"/>
          <w:color w:val="000000"/>
        </w:rPr>
        <w:t xml:space="preserve">College attainment jumped nine percent and </w:t>
      </w:r>
      <w:r w:rsidR="00FC5C4C">
        <w:rPr>
          <w:rFonts w:ascii="Calibri" w:hAnsi="Calibri" w:cs="Calibri"/>
          <w:color w:val="000000"/>
        </w:rPr>
        <w:t xml:space="preserve">proportion of </w:t>
      </w:r>
      <w:r w:rsidR="00B12252">
        <w:rPr>
          <w:rFonts w:ascii="Calibri" w:hAnsi="Calibri" w:cs="Calibri"/>
          <w:color w:val="000000"/>
        </w:rPr>
        <w:t xml:space="preserve">white </w:t>
      </w:r>
      <w:r w:rsidR="00FC5C4C">
        <w:rPr>
          <w:rFonts w:ascii="Calibri" w:hAnsi="Calibri" w:cs="Calibri"/>
          <w:color w:val="000000"/>
        </w:rPr>
        <w:t>residents</w:t>
      </w:r>
      <w:r w:rsidR="00B12252">
        <w:rPr>
          <w:rFonts w:ascii="Calibri" w:hAnsi="Calibri" w:cs="Calibri"/>
          <w:color w:val="000000"/>
        </w:rPr>
        <w:t xml:space="preserve"> fell by over four percent across Davidson County.</w:t>
      </w:r>
      <w:r w:rsidR="00B21A97">
        <w:rPr>
          <w:rFonts w:ascii="Calibri" w:hAnsi="Calibri" w:cs="Calibri"/>
          <w:color w:val="000000"/>
        </w:rPr>
        <w:t xml:space="preserve"> </w:t>
      </w:r>
      <w:r w:rsidR="00B12252" w:rsidRPr="00677BB2">
        <w:rPr>
          <w:rFonts w:ascii="Calibri" w:hAnsi="Calibri" w:cs="Calibri"/>
          <w:color w:val="000000"/>
        </w:rPr>
        <w:t xml:space="preserve"> </w:t>
      </w:r>
    </w:p>
    <w:p w14:paraId="4950C1B8" w14:textId="1D1D69B0" w:rsidR="00791F31" w:rsidRPr="009E185D" w:rsidRDefault="00791F31" w:rsidP="00C42A23">
      <w:pPr>
        <w:ind w:firstLine="720"/>
        <w:jc w:val="center"/>
        <w:rPr>
          <w:i/>
          <w:iCs/>
          <w:sz w:val="20"/>
          <w:szCs w:val="20"/>
        </w:rPr>
      </w:pPr>
      <w:r w:rsidRPr="009E185D">
        <w:rPr>
          <w:i/>
          <w:iCs/>
          <w:sz w:val="20"/>
          <w:szCs w:val="20"/>
        </w:rPr>
        <w:t xml:space="preserve">Table </w:t>
      </w:r>
      <w:r w:rsidR="00E53C2A" w:rsidRPr="009E185D">
        <w:rPr>
          <w:i/>
          <w:iCs/>
          <w:sz w:val="20"/>
          <w:szCs w:val="20"/>
        </w:rPr>
        <w:fldChar w:fldCharType="begin"/>
      </w:r>
      <w:r w:rsidR="00E53C2A" w:rsidRPr="009E185D">
        <w:rPr>
          <w:i/>
          <w:iCs/>
          <w:sz w:val="20"/>
          <w:szCs w:val="20"/>
        </w:rPr>
        <w:instrText xml:space="preserve"> SEQ Table \* ARABIC </w:instrText>
      </w:r>
      <w:r w:rsidR="00E53C2A" w:rsidRPr="009E185D">
        <w:rPr>
          <w:i/>
          <w:iCs/>
          <w:sz w:val="20"/>
          <w:szCs w:val="20"/>
        </w:rPr>
        <w:fldChar w:fldCharType="separate"/>
      </w:r>
      <w:r w:rsidR="00044A7B" w:rsidRPr="009E185D">
        <w:rPr>
          <w:i/>
          <w:iCs/>
          <w:noProof/>
          <w:sz w:val="20"/>
          <w:szCs w:val="20"/>
        </w:rPr>
        <w:t>3</w:t>
      </w:r>
      <w:r w:rsidR="00E53C2A" w:rsidRPr="009E185D">
        <w:rPr>
          <w:i/>
          <w:iCs/>
          <w:noProof/>
          <w:sz w:val="20"/>
          <w:szCs w:val="20"/>
        </w:rPr>
        <w:fldChar w:fldCharType="end"/>
      </w:r>
      <w:r w:rsidRPr="009E185D">
        <w:rPr>
          <w:i/>
          <w:iCs/>
          <w:sz w:val="20"/>
          <w:szCs w:val="20"/>
        </w:rPr>
        <w:t>. Davidson County summary statistics</w:t>
      </w:r>
    </w:p>
    <w:tbl>
      <w:tblPr>
        <w:tblW w:w="8540" w:type="dxa"/>
        <w:tblLook w:val="04A0" w:firstRow="1" w:lastRow="0" w:firstColumn="1" w:lastColumn="0" w:noHBand="0" w:noVBand="1"/>
      </w:tblPr>
      <w:tblGrid>
        <w:gridCol w:w="2440"/>
        <w:gridCol w:w="976"/>
        <w:gridCol w:w="976"/>
        <w:gridCol w:w="340"/>
        <w:gridCol w:w="866"/>
        <w:gridCol w:w="859"/>
        <w:gridCol w:w="1121"/>
        <w:gridCol w:w="994"/>
      </w:tblGrid>
      <w:tr w:rsidR="006B17A3" w:rsidRPr="006B17A3" w14:paraId="1F505CBE" w14:textId="77777777" w:rsidTr="006B17A3">
        <w:trPr>
          <w:trHeight w:val="288"/>
        </w:trPr>
        <w:tc>
          <w:tcPr>
            <w:tcW w:w="2440" w:type="dxa"/>
            <w:vMerge w:val="restart"/>
            <w:tcBorders>
              <w:top w:val="single" w:sz="4" w:space="0" w:color="auto"/>
              <w:left w:val="nil"/>
              <w:bottom w:val="single" w:sz="4" w:space="0" w:color="000000"/>
              <w:right w:val="nil"/>
            </w:tcBorders>
            <w:shd w:val="clear" w:color="000000" w:fill="FFFFFF"/>
            <w:noWrap/>
            <w:vAlign w:val="center"/>
            <w:hideMark/>
          </w:tcPr>
          <w:p w14:paraId="2D04EFBD" w14:textId="77777777" w:rsidR="006B17A3" w:rsidRPr="006B17A3" w:rsidRDefault="006B17A3" w:rsidP="006B17A3">
            <w:pPr>
              <w:spacing w:after="0" w:line="240" w:lineRule="auto"/>
              <w:jc w:val="center"/>
              <w:rPr>
                <w:rFonts w:ascii="Calibri" w:eastAsia="Times New Roman" w:hAnsi="Calibri" w:cs="Calibri"/>
                <w:b/>
                <w:bCs/>
                <w:color w:val="000000"/>
                <w:sz w:val="20"/>
                <w:szCs w:val="20"/>
              </w:rPr>
            </w:pPr>
            <w:r w:rsidRPr="006B17A3">
              <w:rPr>
                <w:rFonts w:ascii="Calibri" w:eastAsia="Times New Roman" w:hAnsi="Calibri" w:cs="Calibri"/>
                <w:b/>
                <w:bCs/>
                <w:color w:val="000000"/>
                <w:sz w:val="20"/>
                <w:szCs w:val="20"/>
              </w:rPr>
              <w:t>Davidson County (n=156)</w:t>
            </w:r>
          </w:p>
        </w:tc>
        <w:tc>
          <w:tcPr>
            <w:tcW w:w="960" w:type="dxa"/>
            <w:tcBorders>
              <w:top w:val="single" w:sz="4" w:space="0" w:color="auto"/>
              <w:left w:val="nil"/>
              <w:bottom w:val="nil"/>
              <w:right w:val="nil"/>
            </w:tcBorders>
            <w:shd w:val="clear" w:color="000000" w:fill="FFFFFF"/>
            <w:noWrap/>
            <w:vAlign w:val="center"/>
            <w:hideMark/>
          </w:tcPr>
          <w:p w14:paraId="316DE606" w14:textId="77777777" w:rsidR="006B17A3" w:rsidRPr="006B17A3" w:rsidRDefault="006B17A3" w:rsidP="006B17A3">
            <w:pPr>
              <w:spacing w:after="0" w:line="240" w:lineRule="auto"/>
              <w:jc w:val="center"/>
              <w:rPr>
                <w:rFonts w:ascii="Calibri" w:eastAsia="Times New Roman" w:hAnsi="Calibri" w:cs="Calibri"/>
                <w:b/>
                <w:bCs/>
                <w:color w:val="000000"/>
                <w:sz w:val="20"/>
                <w:szCs w:val="20"/>
              </w:rPr>
            </w:pPr>
            <w:r w:rsidRPr="006B17A3">
              <w:rPr>
                <w:rFonts w:ascii="Calibri" w:eastAsia="Times New Roman" w:hAnsi="Calibri" w:cs="Calibri"/>
                <w:b/>
                <w:bCs/>
                <w:color w:val="000000"/>
                <w:sz w:val="20"/>
                <w:szCs w:val="20"/>
              </w:rPr>
              <w:t>2000</w:t>
            </w:r>
          </w:p>
        </w:tc>
        <w:tc>
          <w:tcPr>
            <w:tcW w:w="960" w:type="dxa"/>
            <w:tcBorders>
              <w:top w:val="single" w:sz="4" w:space="0" w:color="auto"/>
              <w:left w:val="nil"/>
              <w:bottom w:val="nil"/>
              <w:right w:val="nil"/>
            </w:tcBorders>
            <w:shd w:val="clear" w:color="000000" w:fill="FFFFFF"/>
            <w:noWrap/>
            <w:vAlign w:val="center"/>
            <w:hideMark/>
          </w:tcPr>
          <w:p w14:paraId="601E4F24" w14:textId="77777777" w:rsidR="006B17A3" w:rsidRPr="006B17A3" w:rsidRDefault="006B17A3" w:rsidP="006B17A3">
            <w:pPr>
              <w:spacing w:after="0" w:line="240" w:lineRule="auto"/>
              <w:jc w:val="center"/>
              <w:rPr>
                <w:rFonts w:ascii="Calibri" w:eastAsia="Times New Roman" w:hAnsi="Calibri" w:cs="Calibri"/>
                <w:b/>
                <w:bCs/>
                <w:color w:val="000000"/>
                <w:sz w:val="20"/>
                <w:szCs w:val="20"/>
              </w:rPr>
            </w:pPr>
            <w:r w:rsidRPr="006B17A3">
              <w:rPr>
                <w:rFonts w:ascii="Calibri" w:eastAsia="Times New Roman" w:hAnsi="Calibri" w:cs="Calibri"/>
                <w:b/>
                <w:bCs/>
                <w:color w:val="000000"/>
                <w:sz w:val="20"/>
                <w:szCs w:val="20"/>
              </w:rPr>
              <w:t>2019</w:t>
            </w:r>
          </w:p>
        </w:tc>
        <w:tc>
          <w:tcPr>
            <w:tcW w:w="340" w:type="dxa"/>
            <w:tcBorders>
              <w:top w:val="single" w:sz="4" w:space="0" w:color="auto"/>
              <w:left w:val="nil"/>
              <w:bottom w:val="nil"/>
              <w:right w:val="nil"/>
            </w:tcBorders>
            <w:shd w:val="clear" w:color="000000" w:fill="FFFFFF"/>
            <w:noWrap/>
            <w:vAlign w:val="center"/>
            <w:hideMark/>
          </w:tcPr>
          <w:p w14:paraId="05CF058D" w14:textId="77777777" w:rsidR="006B17A3" w:rsidRPr="006B17A3" w:rsidRDefault="006B17A3" w:rsidP="006B17A3">
            <w:pPr>
              <w:spacing w:after="0" w:line="240" w:lineRule="auto"/>
              <w:jc w:val="center"/>
              <w:rPr>
                <w:rFonts w:ascii="Calibri" w:eastAsia="Times New Roman" w:hAnsi="Calibri" w:cs="Calibri"/>
                <w:b/>
                <w:bCs/>
                <w:color w:val="000000"/>
                <w:sz w:val="20"/>
                <w:szCs w:val="20"/>
              </w:rPr>
            </w:pPr>
            <w:r w:rsidRPr="006B17A3">
              <w:rPr>
                <w:rFonts w:ascii="Calibri" w:eastAsia="Times New Roman" w:hAnsi="Calibri" w:cs="Calibri"/>
                <w:b/>
                <w:bCs/>
                <w:color w:val="000000"/>
                <w:sz w:val="20"/>
                <w:szCs w:val="20"/>
              </w:rPr>
              <w:t> </w:t>
            </w:r>
          </w:p>
        </w:tc>
        <w:tc>
          <w:tcPr>
            <w:tcW w:w="3840" w:type="dxa"/>
            <w:gridSpan w:val="4"/>
            <w:tcBorders>
              <w:top w:val="single" w:sz="4" w:space="0" w:color="auto"/>
              <w:left w:val="nil"/>
              <w:bottom w:val="nil"/>
              <w:right w:val="nil"/>
            </w:tcBorders>
            <w:shd w:val="clear" w:color="000000" w:fill="FFFFFF"/>
            <w:noWrap/>
            <w:vAlign w:val="center"/>
            <w:hideMark/>
          </w:tcPr>
          <w:p w14:paraId="7214B428" w14:textId="77777777" w:rsidR="006B17A3" w:rsidRPr="006B17A3" w:rsidRDefault="006B17A3" w:rsidP="006B17A3">
            <w:pPr>
              <w:spacing w:after="0" w:line="240" w:lineRule="auto"/>
              <w:jc w:val="center"/>
              <w:rPr>
                <w:rFonts w:ascii="Calibri" w:eastAsia="Times New Roman" w:hAnsi="Calibri" w:cs="Calibri"/>
                <w:b/>
                <w:bCs/>
                <w:color w:val="000000"/>
                <w:sz w:val="20"/>
                <w:szCs w:val="20"/>
              </w:rPr>
            </w:pPr>
            <w:r w:rsidRPr="006B17A3">
              <w:rPr>
                <w:rFonts w:ascii="Calibri" w:eastAsia="Times New Roman" w:hAnsi="Calibri" w:cs="Calibri"/>
                <w:b/>
                <w:bCs/>
                <w:color w:val="000000"/>
                <w:sz w:val="20"/>
                <w:szCs w:val="20"/>
              </w:rPr>
              <w:t>Percent Change</w:t>
            </w:r>
          </w:p>
        </w:tc>
      </w:tr>
      <w:tr w:rsidR="006B17A3" w:rsidRPr="006B17A3" w14:paraId="3DC20A1C" w14:textId="77777777" w:rsidTr="006B17A3">
        <w:trPr>
          <w:trHeight w:val="288"/>
        </w:trPr>
        <w:tc>
          <w:tcPr>
            <w:tcW w:w="2440" w:type="dxa"/>
            <w:vMerge/>
            <w:tcBorders>
              <w:top w:val="single" w:sz="4" w:space="0" w:color="auto"/>
              <w:left w:val="nil"/>
              <w:bottom w:val="single" w:sz="4" w:space="0" w:color="000000"/>
              <w:right w:val="nil"/>
            </w:tcBorders>
            <w:vAlign w:val="center"/>
            <w:hideMark/>
          </w:tcPr>
          <w:p w14:paraId="6902A263" w14:textId="77777777" w:rsidR="006B17A3" w:rsidRPr="006B17A3" w:rsidRDefault="006B17A3" w:rsidP="006B17A3">
            <w:pPr>
              <w:spacing w:after="0" w:line="240" w:lineRule="auto"/>
              <w:rPr>
                <w:rFonts w:ascii="Calibri" w:eastAsia="Times New Roman" w:hAnsi="Calibri" w:cs="Calibri"/>
                <w:b/>
                <w:bCs/>
                <w:color w:val="000000"/>
                <w:sz w:val="20"/>
                <w:szCs w:val="20"/>
              </w:rPr>
            </w:pPr>
          </w:p>
        </w:tc>
        <w:tc>
          <w:tcPr>
            <w:tcW w:w="960" w:type="dxa"/>
            <w:tcBorders>
              <w:top w:val="nil"/>
              <w:left w:val="nil"/>
              <w:bottom w:val="single" w:sz="4" w:space="0" w:color="auto"/>
              <w:right w:val="nil"/>
            </w:tcBorders>
            <w:shd w:val="clear" w:color="000000" w:fill="FFFFFF"/>
            <w:noWrap/>
            <w:vAlign w:val="center"/>
            <w:hideMark/>
          </w:tcPr>
          <w:p w14:paraId="251CA71A" w14:textId="77777777" w:rsidR="006B17A3" w:rsidRPr="006B17A3" w:rsidRDefault="006B17A3" w:rsidP="006B17A3">
            <w:pPr>
              <w:spacing w:after="0" w:line="240" w:lineRule="auto"/>
              <w:jc w:val="center"/>
              <w:rPr>
                <w:rFonts w:ascii="Calibri" w:eastAsia="Times New Roman" w:hAnsi="Calibri" w:cs="Calibri"/>
                <w:i/>
                <w:iCs/>
                <w:color w:val="000000"/>
                <w:sz w:val="20"/>
                <w:szCs w:val="20"/>
              </w:rPr>
            </w:pPr>
            <w:r w:rsidRPr="006B17A3">
              <w:rPr>
                <w:rFonts w:ascii="Calibri" w:eastAsia="Times New Roman" w:hAnsi="Calibri" w:cs="Calibri"/>
                <w:i/>
                <w:iCs/>
                <w:color w:val="000000"/>
                <w:sz w:val="20"/>
                <w:szCs w:val="20"/>
              </w:rPr>
              <w:t>Median</w:t>
            </w:r>
          </w:p>
        </w:tc>
        <w:tc>
          <w:tcPr>
            <w:tcW w:w="960" w:type="dxa"/>
            <w:tcBorders>
              <w:top w:val="nil"/>
              <w:left w:val="nil"/>
              <w:bottom w:val="single" w:sz="4" w:space="0" w:color="auto"/>
              <w:right w:val="nil"/>
            </w:tcBorders>
            <w:shd w:val="clear" w:color="000000" w:fill="FFFFFF"/>
            <w:noWrap/>
            <w:vAlign w:val="center"/>
            <w:hideMark/>
          </w:tcPr>
          <w:p w14:paraId="574362F1" w14:textId="77777777" w:rsidR="006B17A3" w:rsidRPr="006B17A3" w:rsidRDefault="006B17A3" w:rsidP="006B17A3">
            <w:pPr>
              <w:spacing w:after="0" w:line="240" w:lineRule="auto"/>
              <w:jc w:val="center"/>
              <w:rPr>
                <w:rFonts w:ascii="Calibri" w:eastAsia="Times New Roman" w:hAnsi="Calibri" w:cs="Calibri"/>
                <w:i/>
                <w:iCs/>
                <w:color w:val="000000"/>
                <w:sz w:val="20"/>
                <w:szCs w:val="20"/>
              </w:rPr>
            </w:pPr>
            <w:r w:rsidRPr="006B17A3">
              <w:rPr>
                <w:rFonts w:ascii="Calibri" w:eastAsia="Times New Roman" w:hAnsi="Calibri" w:cs="Calibri"/>
                <w:i/>
                <w:iCs/>
                <w:color w:val="000000"/>
                <w:sz w:val="20"/>
                <w:szCs w:val="20"/>
              </w:rPr>
              <w:t>Median</w:t>
            </w:r>
          </w:p>
        </w:tc>
        <w:tc>
          <w:tcPr>
            <w:tcW w:w="340" w:type="dxa"/>
            <w:tcBorders>
              <w:top w:val="nil"/>
              <w:left w:val="nil"/>
              <w:bottom w:val="single" w:sz="4" w:space="0" w:color="auto"/>
              <w:right w:val="nil"/>
            </w:tcBorders>
            <w:shd w:val="clear" w:color="000000" w:fill="FFFFFF"/>
            <w:noWrap/>
            <w:vAlign w:val="center"/>
            <w:hideMark/>
          </w:tcPr>
          <w:p w14:paraId="4F3790DD" w14:textId="77777777" w:rsidR="006B17A3" w:rsidRPr="006B17A3" w:rsidRDefault="006B17A3" w:rsidP="006B17A3">
            <w:pPr>
              <w:spacing w:after="0" w:line="240" w:lineRule="auto"/>
              <w:jc w:val="center"/>
              <w:rPr>
                <w:rFonts w:ascii="Calibri" w:eastAsia="Times New Roman" w:hAnsi="Calibri" w:cs="Calibri"/>
                <w:i/>
                <w:iCs/>
                <w:color w:val="000000"/>
                <w:sz w:val="20"/>
                <w:szCs w:val="20"/>
              </w:rPr>
            </w:pPr>
            <w:r w:rsidRPr="006B17A3">
              <w:rPr>
                <w:rFonts w:ascii="Calibri" w:eastAsia="Times New Roman" w:hAnsi="Calibri" w:cs="Calibri"/>
                <w:i/>
                <w:iCs/>
                <w:color w:val="000000"/>
                <w:sz w:val="20"/>
                <w:szCs w:val="20"/>
              </w:rPr>
              <w:t> </w:t>
            </w:r>
          </w:p>
        </w:tc>
        <w:tc>
          <w:tcPr>
            <w:tcW w:w="866" w:type="dxa"/>
            <w:tcBorders>
              <w:top w:val="nil"/>
              <w:left w:val="nil"/>
              <w:bottom w:val="single" w:sz="4" w:space="0" w:color="auto"/>
              <w:right w:val="nil"/>
            </w:tcBorders>
            <w:shd w:val="clear" w:color="000000" w:fill="FFFFFF"/>
            <w:noWrap/>
            <w:vAlign w:val="center"/>
            <w:hideMark/>
          </w:tcPr>
          <w:p w14:paraId="21BD5BE8" w14:textId="77777777" w:rsidR="006B17A3" w:rsidRPr="006B17A3" w:rsidRDefault="006B17A3" w:rsidP="006B17A3">
            <w:pPr>
              <w:spacing w:after="0" w:line="240" w:lineRule="auto"/>
              <w:jc w:val="center"/>
              <w:rPr>
                <w:rFonts w:ascii="Calibri" w:eastAsia="Times New Roman" w:hAnsi="Calibri" w:cs="Calibri"/>
                <w:i/>
                <w:iCs/>
                <w:color w:val="000000"/>
                <w:sz w:val="20"/>
                <w:szCs w:val="20"/>
              </w:rPr>
            </w:pPr>
            <w:r w:rsidRPr="006B17A3">
              <w:rPr>
                <w:rFonts w:ascii="Calibri" w:eastAsia="Times New Roman" w:hAnsi="Calibri" w:cs="Calibri"/>
                <w:i/>
                <w:iCs/>
                <w:color w:val="000000"/>
                <w:sz w:val="20"/>
                <w:szCs w:val="20"/>
              </w:rPr>
              <w:t>Mean</w:t>
            </w:r>
          </w:p>
        </w:tc>
        <w:tc>
          <w:tcPr>
            <w:tcW w:w="859" w:type="dxa"/>
            <w:tcBorders>
              <w:top w:val="nil"/>
              <w:left w:val="nil"/>
              <w:bottom w:val="single" w:sz="4" w:space="0" w:color="auto"/>
              <w:right w:val="nil"/>
            </w:tcBorders>
            <w:shd w:val="clear" w:color="000000" w:fill="FFFFFF"/>
            <w:noWrap/>
            <w:vAlign w:val="center"/>
            <w:hideMark/>
          </w:tcPr>
          <w:p w14:paraId="787BA327" w14:textId="77777777" w:rsidR="006B17A3" w:rsidRPr="006B17A3" w:rsidRDefault="006B17A3" w:rsidP="006B17A3">
            <w:pPr>
              <w:spacing w:after="0" w:line="240" w:lineRule="auto"/>
              <w:jc w:val="center"/>
              <w:rPr>
                <w:rFonts w:ascii="Calibri" w:eastAsia="Times New Roman" w:hAnsi="Calibri" w:cs="Calibri"/>
                <w:i/>
                <w:iCs/>
                <w:color w:val="000000"/>
                <w:sz w:val="20"/>
                <w:szCs w:val="20"/>
              </w:rPr>
            </w:pPr>
            <w:r w:rsidRPr="006B17A3">
              <w:rPr>
                <w:rFonts w:ascii="Calibri" w:eastAsia="Times New Roman" w:hAnsi="Calibri" w:cs="Calibri"/>
                <w:i/>
                <w:iCs/>
                <w:color w:val="000000"/>
                <w:sz w:val="20"/>
                <w:szCs w:val="20"/>
              </w:rPr>
              <w:t>Min.</w:t>
            </w:r>
          </w:p>
        </w:tc>
        <w:tc>
          <w:tcPr>
            <w:tcW w:w="1121" w:type="dxa"/>
            <w:tcBorders>
              <w:top w:val="nil"/>
              <w:left w:val="nil"/>
              <w:bottom w:val="single" w:sz="4" w:space="0" w:color="auto"/>
              <w:right w:val="nil"/>
            </w:tcBorders>
            <w:shd w:val="clear" w:color="000000" w:fill="FFFFFF"/>
            <w:noWrap/>
            <w:vAlign w:val="center"/>
            <w:hideMark/>
          </w:tcPr>
          <w:p w14:paraId="3A2F0122" w14:textId="77777777" w:rsidR="006B17A3" w:rsidRPr="006B17A3" w:rsidRDefault="006B17A3" w:rsidP="006B17A3">
            <w:pPr>
              <w:spacing w:after="0" w:line="240" w:lineRule="auto"/>
              <w:jc w:val="center"/>
              <w:rPr>
                <w:rFonts w:ascii="Calibri" w:eastAsia="Times New Roman" w:hAnsi="Calibri" w:cs="Calibri"/>
                <w:i/>
                <w:iCs/>
                <w:color w:val="000000"/>
                <w:sz w:val="20"/>
                <w:szCs w:val="20"/>
              </w:rPr>
            </w:pPr>
            <w:r w:rsidRPr="006B17A3">
              <w:rPr>
                <w:rFonts w:ascii="Calibri" w:eastAsia="Times New Roman" w:hAnsi="Calibri" w:cs="Calibri"/>
                <w:i/>
                <w:iCs/>
                <w:color w:val="000000"/>
                <w:sz w:val="20"/>
                <w:szCs w:val="20"/>
              </w:rPr>
              <w:t>Median</w:t>
            </w:r>
          </w:p>
        </w:tc>
        <w:tc>
          <w:tcPr>
            <w:tcW w:w="994" w:type="dxa"/>
            <w:tcBorders>
              <w:top w:val="nil"/>
              <w:left w:val="nil"/>
              <w:bottom w:val="single" w:sz="4" w:space="0" w:color="auto"/>
              <w:right w:val="nil"/>
            </w:tcBorders>
            <w:shd w:val="clear" w:color="000000" w:fill="FFFFFF"/>
            <w:noWrap/>
            <w:vAlign w:val="center"/>
            <w:hideMark/>
          </w:tcPr>
          <w:p w14:paraId="384B59D5" w14:textId="77777777" w:rsidR="006B17A3" w:rsidRPr="006B17A3" w:rsidRDefault="006B17A3" w:rsidP="006B17A3">
            <w:pPr>
              <w:spacing w:after="0" w:line="240" w:lineRule="auto"/>
              <w:jc w:val="center"/>
              <w:rPr>
                <w:rFonts w:ascii="Calibri" w:eastAsia="Times New Roman" w:hAnsi="Calibri" w:cs="Calibri"/>
                <w:i/>
                <w:iCs/>
                <w:color w:val="000000"/>
                <w:sz w:val="20"/>
                <w:szCs w:val="20"/>
              </w:rPr>
            </w:pPr>
            <w:r w:rsidRPr="006B17A3">
              <w:rPr>
                <w:rFonts w:ascii="Calibri" w:eastAsia="Times New Roman" w:hAnsi="Calibri" w:cs="Calibri"/>
                <w:i/>
                <w:iCs/>
                <w:color w:val="000000"/>
                <w:sz w:val="20"/>
                <w:szCs w:val="20"/>
              </w:rPr>
              <w:t>Max.</w:t>
            </w:r>
          </w:p>
        </w:tc>
      </w:tr>
      <w:tr w:rsidR="006B17A3" w:rsidRPr="006B17A3" w14:paraId="3A45A7CF" w14:textId="77777777" w:rsidTr="006B17A3">
        <w:trPr>
          <w:trHeight w:val="288"/>
        </w:trPr>
        <w:tc>
          <w:tcPr>
            <w:tcW w:w="2440" w:type="dxa"/>
            <w:tcBorders>
              <w:top w:val="nil"/>
              <w:left w:val="nil"/>
              <w:bottom w:val="nil"/>
              <w:right w:val="nil"/>
            </w:tcBorders>
            <w:shd w:val="clear" w:color="000000" w:fill="FFFFFF"/>
            <w:noWrap/>
            <w:vAlign w:val="bottom"/>
            <w:hideMark/>
          </w:tcPr>
          <w:p w14:paraId="580AA3D2"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2B3B8C5A"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2684231A"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340" w:type="dxa"/>
            <w:tcBorders>
              <w:top w:val="nil"/>
              <w:left w:val="nil"/>
              <w:bottom w:val="nil"/>
              <w:right w:val="nil"/>
            </w:tcBorders>
            <w:shd w:val="clear" w:color="000000" w:fill="FFFFFF"/>
            <w:noWrap/>
            <w:vAlign w:val="bottom"/>
            <w:hideMark/>
          </w:tcPr>
          <w:p w14:paraId="36435E15"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bottom"/>
            <w:hideMark/>
          </w:tcPr>
          <w:p w14:paraId="517D29F6"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59" w:type="dxa"/>
            <w:tcBorders>
              <w:top w:val="nil"/>
              <w:left w:val="nil"/>
              <w:bottom w:val="nil"/>
              <w:right w:val="nil"/>
            </w:tcBorders>
            <w:shd w:val="clear" w:color="000000" w:fill="FFFFFF"/>
            <w:noWrap/>
            <w:vAlign w:val="bottom"/>
            <w:hideMark/>
          </w:tcPr>
          <w:p w14:paraId="49BFB681"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1121" w:type="dxa"/>
            <w:tcBorders>
              <w:top w:val="nil"/>
              <w:left w:val="nil"/>
              <w:bottom w:val="nil"/>
              <w:right w:val="nil"/>
            </w:tcBorders>
            <w:shd w:val="clear" w:color="000000" w:fill="FFFFFF"/>
            <w:noWrap/>
            <w:vAlign w:val="bottom"/>
            <w:hideMark/>
          </w:tcPr>
          <w:p w14:paraId="5AC96188"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994" w:type="dxa"/>
            <w:tcBorders>
              <w:top w:val="nil"/>
              <w:left w:val="nil"/>
              <w:bottom w:val="nil"/>
              <w:right w:val="nil"/>
            </w:tcBorders>
            <w:shd w:val="clear" w:color="000000" w:fill="FFFFFF"/>
            <w:noWrap/>
            <w:vAlign w:val="bottom"/>
            <w:hideMark/>
          </w:tcPr>
          <w:p w14:paraId="7AAF831B"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r>
      <w:tr w:rsidR="006B17A3" w:rsidRPr="006B17A3" w14:paraId="7899B95D" w14:textId="77777777" w:rsidTr="006B17A3">
        <w:trPr>
          <w:trHeight w:val="288"/>
        </w:trPr>
        <w:tc>
          <w:tcPr>
            <w:tcW w:w="2440" w:type="dxa"/>
            <w:tcBorders>
              <w:top w:val="nil"/>
              <w:left w:val="nil"/>
              <w:bottom w:val="nil"/>
              <w:right w:val="nil"/>
            </w:tcBorders>
            <w:shd w:val="clear" w:color="000000" w:fill="FFFFFF"/>
            <w:noWrap/>
            <w:vAlign w:val="bottom"/>
            <w:hideMark/>
          </w:tcPr>
          <w:p w14:paraId="1D437390"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Median Home Value</w:t>
            </w:r>
          </w:p>
        </w:tc>
        <w:tc>
          <w:tcPr>
            <w:tcW w:w="960" w:type="dxa"/>
            <w:tcBorders>
              <w:top w:val="nil"/>
              <w:left w:val="nil"/>
              <w:bottom w:val="nil"/>
              <w:right w:val="nil"/>
            </w:tcBorders>
            <w:shd w:val="clear" w:color="000000" w:fill="FFFFFF"/>
            <w:noWrap/>
            <w:vAlign w:val="center"/>
            <w:hideMark/>
          </w:tcPr>
          <w:p w14:paraId="3FB51A1A"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$158,068</w:t>
            </w:r>
          </w:p>
        </w:tc>
        <w:tc>
          <w:tcPr>
            <w:tcW w:w="960" w:type="dxa"/>
            <w:tcBorders>
              <w:top w:val="nil"/>
              <w:left w:val="nil"/>
              <w:bottom w:val="nil"/>
              <w:right w:val="nil"/>
            </w:tcBorders>
            <w:shd w:val="clear" w:color="000000" w:fill="FFFFFF"/>
            <w:noWrap/>
            <w:vAlign w:val="center"/>
            <w:hideMark/>
          </w:tcPr>
          <w:p w14:paraId="21B73987"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$211,900</w:t>
            </w:r>
          </w:p>
        </w:tc>
        <w:tc>
          <w:tcPr>
            <w:tcW w:w="340" w:type="dxa"/>
            <w:tcBorders>
              <w:top w:val="nil"/>
              <w:left w:val="nil"/>
              <w:bottom w:val="nil"/>
              <w:right w:val="nil"/>
            </w:tcBorders>
            <w:shd w:val="clear" w:color="000000" w:fill="FFFFFF"/>
            <w:noWrap/>
            <w:vAlign w:val="center"/>
            <w:hideMark/>
          </w:tcPr>
          <w:p w14:paraId="0D26C0F8"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22C5A42A"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+53%</w:t>
            </w:r>
          </w:p>
        </w:tc>
        <w:tc>
          <w:tcPr>
            <w:tcW w:w="859" w:type="dxa"/>
            <w:tcBorders>
              <w:top w:val="nil"/>
              <w:left w:val="nil"/>
              <w:bottom w:val="nil"/>
              <w:right w:val="nil"/>
            </w:tcBorders>
            <w:shd w:val="clear" w:color="000000" w:fill="FFFFFF"/>
            <w:noWrap/>
            <w:vAlign w:val="center"/>
            <w:hideMark/>
          </w:tcPr>
          <w:p w14:paraId="1337B055"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--23%</w:t>
            </w:r>
          </w:p>
        </w:tc>
        <w:tc>
          <w:tcPr>
            <w:tcW w:w="1121" w:type="dxa"/>
            <w:tcBorders>
              <w:top w:val="nil"/>
              <w:left w:val="nil"/>
              <w:bottom w:val="nil"/>
              <w:right w:val="nil"/>
            </w:tcBorders>
            <w:shd w:val="clear" w:color="000000" w:fill="FFFFFF"/>
            <w:noWrap/>
            <w:vAlign w:val="center"/>
            <w:hideMark/>
          </w:tcPr>
          <w:p w14:paraId="5A7474E2"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+29%</w:t>
            </w:r>
          </w:p>
        </w:tc>
        <w:tc>
          <w:tcPr>
            <w:tcW w:w="994" w:type="dxa"/>
            <w:tcBorders>
              <w:top w:val="nil"/>
              <w:left w:val="nil"/>
              <w:bottom w:val="nil"/>
              <w:right w:val="nil"/>
            </w:tcBorders>
            <w:shd w:val="clear" w:color="000000" w:fill="FFFFFF"/>
            <w:noWrap/>
            <w:vAlign w:val="center"/>
            <w:hideMark/>
          </w:tcPr>
          <w:p w14:paraId="40B4F14C"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+310%</w:t>
            </w:r>
          </w:p>
        </w:tc>
      </w:tr>
      <w:tr w:rsidR="006B17A3" w:rsidRPr="006B17A3" w14:paraId="2BF8B448" w14:textId="77777777" w:rsidTr="006B17A3">
        <w:trPr>
          <w:trHeight w:val="288"/>
        </w:trPr>
        <w:tc>
          <w:tcPr>
            <w:tcW w:w="2440" w:type="dxa"/>
            <w:tcBorders>
              <w:top w:val="nil"/>
              <w:left w:val="nil"/>
              <w:bottom w:val="nil"/>
              <w:right w:val="nil"/>
            </w:tcBorders>
            <w:shd w:val="clear" w:color="000000" w:fill="FFFFFF"/>
            <w:noWrap/>
            <w:vAlign w:val="bottom"/>
            <w:hideMark/>
          </w:tcPr>
          <w:p w14:paraId="3C690CF0"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Median Rent Value</w:t>
            </w:r>
          </w:p>
        </w:tc>
        <w:tc>
          <w:tcPr>
            <w:tcW w:w="960" w:type="dxa"/>
            <w:tcBorders>
              <w:top w:val="nil"/>
              <w:left w:val="nil"/>
              <w:bottom w:val="nil"/>
              <w:right w:val="nil"/>
            </w:tcBorders>
            <w:shd w:val="clear" w:color="000000" w:fill="FFFFFF"/>
            <w:noWrap/>
            <w:vAlign w:val="center"/>
            <w:hideMark/>
          </w:tcPr>
          <w:p w14:paraId="2522193F"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$59,040</w:t>
            </w:r>
          </w:p>
        </w:tc>
        <w:tc>
          <w:tcPr>
            <w:tcW w:w="960" w:type="dxa"/>
            <w:tcBorders>
              <w:top w:val="nil"/>
              <w:left w:val="nil"/>
              <w:bottom w:val="nil"/>
              <w:right w:val="nil"/>
            </w:tcBorders>
            <w:shd w:val="clear" w:color="000000" w:fill="FFFFFF"/>
            <w:noWrap/>
            <w:vAlign w:val="center"/>
            <w:hideMark/>
          </w:tcPr>
          <w:p w14:paraId="282F595C"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$58,830</w:t>
            </w:r>
          </w:p>
        </w:tc>
        <w:tc>
          <w:tcPr>
            <w:tcW w:w="340" w:type="dxa"/>
            <w:tcBorders>
              <w:top w:val="nil"/>
              <w:left w:val="nil"/>
              <w:bottom w:val="nil"/>
              <w:right w:val="nil"/>
            </w:tcBorders>
            <w:shd w:val="clear" w:color="000000" w:fill="FFFFFF"/>
            <w:noWrap/>
            <w:vAlign w:val="center"/>
            <w:hideMark/>
          </w:tcPr>
          <w:p w14:paraId="3B83DF3C"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4D17DF35"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+29%</w:t>
            </w:r>
          </w:p>
        </w:tc>
        <w:tc>
          <w:tcPr>
            <w:tcW w:w="859" w:type="dxa"/>
            <w:tcBorders>
              <w:top w:val="nil"/>
              <w:left w:val="nil"/>
              <w:bottom w:val="nil"/>
              <w:right w:val="nil"/>
            </w:tcBorders>
            <w:shd w:val="clear" w:color="000000" w:fill="FFFFFF"/>
            <w:noWrap/>
            <w:vAlign w:val="center"/>
            <w:hideMark/>
          </w:tcPr>
          <w:p w14:paraId="27DAC900"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--41%</w:t>
            </w:r>
          </w:p>
        </w:tc>
        <w:tc>
          <w:tcPr>
            <w:tcW w:w="1121" w:type="dxa"/>
            <w:tcBorders>
              <w:top w:val="nil"/>
              <w:left w:val="nil"/>
              <w:bottom w:val="nil"/>
              <w:right w:val="nil"/>
            </w:tcBorders>
            <w:shd w:val="clear" w:color="000000" w:fill="FFFFFF"/>
            <w:noWrap/>
            <w:vAlign w:val="center"/>
            <w:hideMark/>
          </w:tcPr>
          <w:p w14:paraId="0F5DC930"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+20%</w:t>
            </w:r>
          </w:p>
        </w:tc>
        <w:tc>
          <w:tcPr>
            <w:tcW w:w="994" w:type="dxa"/>
            <w:tcBorders>
              <w:top w:val="nil"/>
              <w:left w:val="nil"/>
              <w:bottom w:val="nil"/>
              <w:right w:val="nil"/>
            </w:tcBorders>
            <w:shd w:val="clear" w:color="000000" w:fill="FFFFFF"/>
            <w:noWrap/>
            <w:vAlign w:val="center"/>
            <w:hideMark/>
          </w:tcPr>
          <w:p w14:paraId="1BFBF528"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+306%</w:t>
            </w:r>
          </w:p>
        </w:tc>
      </w:tr>
      <w:tr w:rsidR="006B17A3" w:rsidRPr="006B17A3" w14:paraId="0D2F010C" w14:textId="77777777" w:rsidTr="006B17A3">
        <w:trPr>
          <w:trHeight w:val="288"/>
        </w:trPr>
        <w:tc>
          <w:tcPr>
            <w:tcW w:w="2440" w:type="dxa"/>
            <w:tcBorders>
              <w:top w:val="nil"/>
              <w:left w:val="nil"/>
              <w:bottom w:val="nil"/>
              <w:right w:val="nil"/>
            </w:tcBorders>
            <w:shd w:val="clear" w:color="000000" w:fill="FFFFFF"/>
            <w:noWrap/>
            <w:vAlign w:val="bottom"/>
            <w:hideMark/>
          </w:tcPr>
          <w:p w14:paraId="7F290332"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Median Household Income</w:t>
            </w:r>
          </w:p>
        </w:tc>
        <w:tc>
          <w:tcPr>
            <w:tcW w:w="960" w:type="dxa"/>
            <w:tcBorders>
              <w:top w:val="nil"/>
              <w:left w:val="nil"/>
              <w:bottom w:val="nil"/>
              <w:right w:val="nil"/>
            </w:tcBorders>
            <w:shd w:val="clear" w:color="000000" w:fill="FFFFFF"/>
            <w:noWrap/>
            <w:vAlign w:val="center"/>
            <w:hideMark/>
          </w:tcPr>
          <w:p w14:paraId="636C9B95"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$929</w:t>
            </w:r>
          </w:p>
        </w:tc>
        <w:tc>
          <w:tcPr>
            <w:tcW w:w="960" w:type="dxa"/>
            <w:tcBorders>
              <w:top w:val="nil"/>
              <w:left w:val="nil"/>
              <w:bottom w:val="nil"/>
              <w:right w:val="nil"/>
            </w:tcBorders>
            <w:shd w:val="clear" w:color="000000" w:fill="FFFFFF"/>
            <w:noWrap/>
            <w:vAlign w:val="center"/>
            <w:hideMark/>
          </w:tcPr>
          <w:p w14:paraId="58999E3C"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$1,095</w:t>
            </w:r>
          </w:p>
        </w:tc>
        <w:tc>
          <w:tcPr>
            <w:tcW w:w="340" w:type="dxa"/>
            <w:tcBorders>
              <w:top w:val="nil"/>
              <w:left w:val="nil"/>
              <w:bottom w:val="nil"/>
              <w:right w:val="nil"/>
            </w:tcBorders>
            <w:shd w:val="clear" w:color="000000" w:fill="FFFFFF"/>
            <w:noWrap/>
            <w:vAlign w:val="center"/>
            <w:hideMark/>
          </w:tcPr>
          <w:p w14:paraId="18584E59"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0EC26B0D"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+9%</w:t>
            </w:r>
          </w:p>
        </w:tc>
        <w:tc>
          <w:tcPr>
            <w:tcW w:w="859" w:type="dxa"/>
            <w:tcBorders>
              <w:top w:val="nil"/>
              <w:left w:val="nil"/>
              <w:bottom w:val="nil"/>
              <w:right w:val="nil"/>
            </w:tcBorders>
            <w:shd w:val="clear" w:color="000000" w:fill="FFFFFF"/>
            <w:noWrap/>
            <w:vAlign w:val="center"/>
            <w:hideMark/>
          </w:tcPr>
          <w:p w14:paraId="53918679"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--51%</w:t>
            </w:r>
          </w:p>
        </w:tc>
        <w:tc>
          <w:tcPr>
            <w:tcW w:w="1121" w:type="dxa"/>
            <w:tcBorders>
              <w:top w:val="nil"/>
              <w:left w:val="nil"/>
              <w:bottom w:val="nil"/>
              <w:right w:val="nil"/>
            </w:tcBorders>
            <w:shd w:val="clear" w:color="000000" w:fill="FFFFFF"/>
            <w:noWrap/>
            <w:vAlign w:val="center"/>
            <w:hideMark/>
          </w:tcPr>
          <w:p w14:paraId="10E0A501"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+0%</w:t>
            </w:r>
          </w:p>
        </w:tc>
        <w:tc>
          <w:tcPr>
            <w:tcW w:w="994" w:type="dxa"/>
            <w:tcBorders>
              <w:top w:val="nil"/>
              <w:left w:val="nil"/>
              <w:bottom w:val="nil"/>
              <w:right w:val="nil"/>
            </w:tcBorders>
            <w:shd w:val="clear" w:color="000000" w:fill="FFFFFF"/>
            <w:noWrap/>
            <w:vAlign w:val="center"/>
            <w:hideMark/>
          </w:tcPr>
          <w:p w14:paraId="1526D110"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+272%</w:t>
            </w:r>
          </w:p>
        </w:tc>
      </w:tr>
      <w:tr w:rsidR="006B17A3" w:rsidRPr="006B17A3" w14:paraId="32646D88" w14:textId="77777777" w:rsidTr="006B17A3">
        <w:trPr>
          <w:trHeight w:val="288"/>
        </w:trPr>
        <w:tc>
          <w:tcPr>
            <w:tcW w:w="2440" w:type="dxa"/>
            <w:tcBorders>
              <w:top w:val="nil"/>
              <w:left w:val="nil"/>
              <w:bottom w:val="nil"/>
              <w:right w:val="nil"/>
            </w:tcBorders>
            <w:shd w:val="clear" w:color="000000" w:fill="FFFFFF"/>
            <w:noWrap/>
            <w:vAlign w:val="bottom"/>
            <w:hideMark/>
          </w:tcPr>
          <w:p w14:paraId="5F47DF9B"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lastRenderedPageBreak/>
              <w:t>Percent College Degree</w:t>
            </w:r>
          </w:p>
        </w:tc>
        <w:tc>
          <w:tcPr>
            <w:tcW w:w="960" w:type="dxa"/>
            <w:tcBorders>
              <w:top w:val="nil"/>
              <w:left w:val="nil"/>
              <w:bottom w:val="nil"/>
              <w:right w:val="nil"/>
            </w:tcBorders>
            <w:shd w:val="clear" w:color="000000" w:fill="FFFFFF"/>
            <w:noWrap/>
            <w:vAlign w:val="center"/>
            <w:hideMark/>
          </w:tcPr>
          <w:p w14:paraId="635A2AA1"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24%</w:t>
            </w:r>
          </w:p>
        </w:tc>
        <w:tc>
          <w:tcPr>
            <w:tcW w:w="960" w:type="dxa"/>
            <w:tcBorders>
              <w:top w:val="nil"/>
              <w:left w:val="nil"/>
              <w:bottom w:val="nil"/>
              <w:right w:val="nil"/>
            </w:tcBorders>
            <w:shd w:val="clear" w:color="000000" w:fill="FFFFFF"/>
            <w:noWrap/>
            <w:vAlign w:val="center"/>
            <w:hideMark/>
          </w:tcPr>
          <w:p w14:paraId="15223CDB"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35%</w:t>
            </w:r>
          </w:p>
        </w:tc>
        <w:tc>
          <w:tcPr>
            <w:tcW w:w="340" w:type="dxa"/>
            <w:tcBorders>
              <w:top w:val="nil"/>
              <w:left w:val="nil"/>
              <w:bottom w:val="nil"/>
              <w:right w:val="nil"/>
            </w:tcBorders>
            <w:shd w:val="clear" w:color="000000" w:fill="FFFFFF"/>
            <w:noWrap/>
            <w:vAlign w:val="center"/>
            <w:hideMark/>
          </w:tcPr>
          <w:p w14:paraId="5D855348"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5ED8D40F"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+11%</w:t>
            </w:r>
          </w:p>
        </w:tc>
        <w:tc>
          <w:tcPr>
            <w:tcW w:w="859" w:type="dxa"/>
            <w:tcBorders>
              <w:top w:val="nil"/>
              <w:left w:val="nil"/>
              <w:bottom w:val="nil"/>
              <w:right w:val="nil"/>
            </w:tcBorders>
            <w:shd w:val="clear" w:color="000000" w:fill="FFFFFF"/>
            <w:noWrap/>
            <w:vAlign w:val="center"/>
            <w:hideMark/>
          </w:tcPr>
          <w:p w14:paraId="3F4C3AA9"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--11%</w:t>
            </w:r>
          </w:p>
        </w:tc>
        <w:tc>
          <w:tcPr>
            <w:tcW w:w="1121" w:type="dxa"/>
            <w:tcBorders>
              <w:top w:val="nil"/>
              <w:left w:val="nil"/>
              <w:bottom w:val="nil"/>
              <w:right w:val="nil"/>
            </w:tcBorders>
            <w:shd w:val="clear" w:color="000000" w:fill="FFFFFF"/>
            <w:noWrap/>
            <w:vAlign w:val="center"/>
            <w:hideMark/>
          </w:tcPr>
          <w:p w14:paraId="6A733EDB"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+9%</w:t>
            </w:r>
          </w:p>
        </w:tc>
        <w:tc>
          <w:tcPr>
            <w:tcW w:w="994" w:type="dxa"/>
            <w:tcBorders>
              <w:top w:val="nil"/>
              <w:left w:val="nil"/>
              <w:bottom w:val="nil"/>
              <w:right w:val="nil"/>
            </w:tcBorders>
            <w:shd w:val="clear" w:color="000000" w:fill="FFFFFF"/>
            <w:noWrap/>
            <w:vAlign w:val="center"/>
            <w:hideMark/>
          </w:tcPr>
          <w:p w14:paraId="623F531D"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+59%</w:t>
            </w:r>
          </w:p>
        </w:tc>
      </w:tr>
      <w:tr w:rsidR="006B17A3" w:rsidRPr="006B17A3" w14:paraId="13AB1758" w14:textId="77777777" w:rsidTr="006B17A3">
        <w:trPr>
          <w:trHeight w:val="288"/>
        </w:trPr>
        <w:tc>
          <w:tcPr>
            <w:tcW w:w="2440" w:type="dxa"/>
            <w:tcBorders>
              <w:top w:val="nil"/>
              <w:left w:val="nil"/>
              <w:bottom w:val="nil"/>
              <w:right w:val="nil"/>
            </w:tcBorders>
            <w:shd w:val="clear" w:color="000000" w:fill="FFFFFF"/>
            <w:noWrap/>
            <w:vAlign w:val="bottom"/>
            <w:hideMark/>
          </w:tcPr>
          <w:p w14:paraId="51CAC6C2"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Percent Multi-Unit Housing</w:t>
            </w:r>
          </w:p>
        </w:tc>
        <w:tc>
          <w:tcPr>
            <w:tcW w:w="960" w:type="dxa"/>
            <w:tcBorders>
              <w:top w:val="nil"/>
              <w:left w:val="nil"/>
              <w:bottom w:val="nil"/>
              <w:right w:val="nil"/>
            </w:tcBorders>
            <w:shd w:val="clear" w:color="000000" w:fill="FFFFFF"/>
            <w:noWrap/>
            <w:vAlign w:val="center"/>
            <w:hideMark/>
          </w:tcPr>
          <w:p w14:paraId="6B37DDD6"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38%</w:t>
            </w:r>
          </w:p>
        </w:tc>
        <w:tc>
          <w:tcPr>
            <w:tcW w:w="960" w:type="dxa"/>
            <w:tcBorders>
              <w:top w:val="nil"/>
              <w:left w:val="nil"/>
              <w:bottom w:val="nil"/>
              <w:right w:val="nil"/>
            </w:tcBorders>
            <w:shd w:val="clear" w:color="000000" w:fill="FFFFFF"/>
            <w:noWrap/>
            <w:vAlign w:val="center"/>
            <w:hideMark/>
          </w:tcPr>
          <w:p w14:paraId="59464105"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34%</w:t>
            </w:r>
          </w:p>
        </w:tc>
        <w:tc>
          <w:tcPr>
            <w:tcW w:w="340" w:type="dxa"/>
            <w:tcBorders>
              <w:top w:val="nil"/>
              <w:left w:val="nil"/>
              <w:bottom w:val="nil"/>
              <w:right w:val="nil"/>
            </w:tcBorders>
            <w:shd w:val="clear" w:color="000000" w:fill="FFFFFF"/>
            <w:noWrap/>
            <w:vAlign w:val="center"/>
            <w:hideMark/>
          </w:tcPr>
          <w:p w14:paraId="77393468"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689C6095"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--1%</w:t>
            </w:r>
          </w:p>
        </w:tc>
        <w:tc>
          <w:tcPr>
            <w:tcW w:w="859" w:type="dxa"/>
            <w:tcBorders>
              <w:top w:val="nil"/>
              <w:left w:val="nil"/>
              <w:bottom w:val="nil"/>
              <w:right w:val="nil"/>
            </w:tcBorders>
            <w:shd w:val="clear" w:color="000000" w:fill="FFFFFF"/>
            <w:noWrap/>
            <w:vAlign w:val="center"/>
            <w:hideMark/>
          </w:tcPr>
          <w:p w14:paraId="5232160F"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--66%</w:t>
            </w:r>
          </w:p>
        </w:tc>
        <w:tc>
          <w:tcPr>
            <w:tcW w:w="1121" w:type="dxa"/>
            <w:tcBorders>
              <w:top w:val="nil"/>
              <w:left w:val="nil"/>
              <w:bottom w:val="nil"/>
              <w:right w:val="nil"/>
            </w:tcBorders>
            <w:shd w:val="clear" w:color="000000" w:fill="FFFFFF"/>
            <w:noWrap/>
            <w:vAlign w:val="center"/>
            <w:hideMark/>
          </w:tcPr>
          <w:p w14:paraId="668526CC"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--1%</w:t>
            </w:r>
          </w:p>
        </w:tc>
        <w:tc>
          <w:tcPr>
            <w:tcW w:w="994" w:type="dxa"/>
            <w:tcBorders>
              <w:top w:val="nil"/>
              <w:left w:val="nil"/>
              <w:bottom w:val="nil"/>
              <w:right w:val="nil"/>
            </w:tcBorders>
            <w:shd w:val="clear" w:color="000000" w:fill="FFFFFF"/>
            <w:noWrap/>
            <w:vAlign w:val="center"/>
            <w:hideMark/>
          </w:tcPr>
          <w:p w14:paraId="1D2E48C9"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+32%</w:t>
            </w:r>
          </w:p>
        </w:tc>
      </w:tr>
      <w:tr w:rsidR="006B17A3" w:rsidRPr="006B17A3" w14:paraId="249C6F98" w14:textId="77777777" w:rsidTr="006B17A3">
        <w:trPr>
          <w:trHeight w:val="288"/>
        </w:trPr>
        <w:tc>
          <w:tcPr>
            <w:tcW w:w="2440" w:type="dxa"/>
            <w:tcBorders>
              <w:top w:val="nil"/>
              <w:left w:val="nil"/>
              <w:bottom w:val="single" w:sz="4" w:space="0" w:color="auto"/>
              <w:right w:val="nil"/>
            </w:tcBorders>
            <w:shd w:val="clear" w:color="000000" w:fill="FFFFFF"/>
            <w:noWrap/>
            <w:vAlign w:val="bottom"/>
            <w:hideMark/>
          </w:tcPr>
          <w:p w14:paraId="25AB5A05" w14:textId="77777777" w:rsidR="006B17A3" w:rsidRPr="006B17A3" w:rsidRDefault="006B17A3" w:rsidP="006B17A3">
            <w:pPr>
              <w:spacing w:after="0" w:line="240" w:lineRule="auto"/>
              <w:rPr>
                <w:rFonts w:ascii="Calibri" w:eastAsia="Times New Roman" w:hAnsi="Calibri" w:cs="Calibri"/>
                <w:color w:val="000000"/>
                <w:sz w:val="20"/>
                <w:szCs w:val="20"/>
              </w:rPr>
            </w:pPr>
            <w:r w:rsidRPr="006B17A3">
              <w:rPr>
                <w:rFonts w:ascii="Calibri" w:eastAsia="Times New Roman" w:hAnsi="Calibri" w:cs="Calibri"/>
                <w:color w:val="000000"/>
                <w:sz w:val="20"/>
                <w:szCs w:val="20"/>
              </w:rPr>
              <w:t>Percent White</w:t>
            </w:r>
          </w:p>
        </w:tc>
        <w:tc>
          <w:tcPr>
            <w:tcW w:w="960" w:type="dxa"/>
            <w:tcBorders>
              <w:top w:val="nil"/>
              <w:left w:val="nil"/>
              <w:bottom w:val="single" w:sz="4" w:space="0" w:color="auto"/>
              <w:right w:val="nil"/>
            </w:tcBorders>
            <w:shd w:val="clear" w:color="000000" w:fill="FFFFFF"/>
            <w:noWrap/>
            <w:vAlign w:val="center"/>
            <w:hideMark/>
          </w:tcPr>
          <w:p w14:paraId="39A93D7F"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75%</w:t>
            </w:r>
          </w:p>
        </w:tc>
        <w:tc>
          <w:tcPr>
            <w:tcW w:w="960" w:type="dxa"/>
            <w:tcBorders>
              <w:top w:val="nil"/>
              <w:left w:val="nil"/>
              <w:bottom w:val="single" w:sz="4" w:space="0" w:color="auto"/>
              <w:right w:val="nil"/>
            </w:tcBorders>
            <w:shd w:val="clear" w:color="000000" w:fill="FFFFFF"/>
            <w:noWrap/>
            <w:vAlign w:val="center"/>
            <w:hideMark/>
          </w:tcPr>
          <w:p w14:paraId="2CA8F626"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68%</w:t>
            </w:r>
          </w:p>
        </w:tc>
        <w:tc>
          <w:tcPr>
            <w:tcW w:w="340" w:type="dxa"/>
            <w:tcBorders>
              <w:top w:val="nil"/>
              <w:left w:val="nil"/>
              <w:bottom w:val="single" w:sz="4" w:space="0" w:color="auto"/>
              <w:right w:val="nil"/>
            </w:tcBorders>
            <w:shd w:val="clear" w:color="000000" w:fill="FFFFFF"/>
            <w:noWrap/>
            <w:vAlign w:val="center"/>
            <w:hideMark/>
          </w:tcPr>
          <w:p w14:paraId="68F7CE71"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 </w:t>
            </w:r>
          </w:p>
        </w:tc>
        <w:tc>
          <w:tcPr>
            <w:tcW w:w="866" w:type="dxa"/>
            <w:tcBorders>
              <w:top w:val="nil"/>
              <w:left w:val="nil"/>
              <w:bottom w:val="single" w:sz="4" w:space="0" w:color="auto"/>
              <w:right w:val="nil"/>
            </w:tcBorders>
            <w:shd w:val="clear" w:color="000000" w:fill="FFFFFF"/>
            <w:noWrap/>
            <w:vAlign w:val="center"/>
            <w:hideMark/>
          </w:tcPr>
          <w:p w14:paraId="05B7BF90"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--3%</w:t>
            </w:r>
          </w:p>
        </w:tc>
        <w:tc>
          <w:tcPr>
            <w:tcW w:w="859" w:type="dxa"/>
            <w:tcBorders>
              <w:top w:val="nil"/>
              <w:left w:val="nil"/>
              <w:bottom w:val="single" w:sz="4" w:space="0" w:color="auto"/>
              <w:right w:val="nil"/>
            </w:tcBorders>
            <w:shd w:val="clear" w:color="000000" w:fill="FFFFFF"/>
            <w:noWrap/>
            <w:vAlign w:val="center"/>
            <w:hideMark/>
          </w:tcPr>
          <w:p w14:paraId="753CAA1C"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--42%</w:t>
            </w:r>
          </w:p>
        </w:tc>
        <w:tc>
          <w:tcPr>
            <w:tcW w:w="1121" w:type="dxa"/>
            <w:tcBorders>
              <w:top w:val="nil"/>
              <w:left w:val="nil"/>
              <w:bottom w:val="single" w:sz="4" w:space="0" w:color="auto"/>
              <w:right w:val="nil"/>
            </w:tcBorders>
            <w:shd w:val="clear" w:color="000000" w:fill="FFFFFF"/>
            <w:noWrap/>
            <w:vAlign w:val="center"/>
            <w:hideMark/>
          </w:tcPr>
          <w:p w14:paraId="3356FA38"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--4%</w:t>
            </w:r>
          </w:p>
        </w:tc>
        <w:tc>
          <w:tcPr>
            <w:tcW w:w="994" w:type="dxa"/>
            <w:tcBorders>
              <w:top w:val="nil"/>
              <w:left w:val="nil"/>
              <w:bottom w:val="single" w:sz="4" w:space="0" w:color="auto"/>
              <w:right w:val="nil"/>
            </w:tcBorders>
            <w:shd w:val="clear" w:color="000000" w:fill="FFFFFF"/>
            <w:noWrap/>
            <w:vAlign w:val="center"/>
            <w:hideMark/>
          </w:tcPr>
          <w:p w14:paraId="2ACA0E89" w14:textId="77777777" w:rsidR="006B17A3" w:rsidRPr="006B17A3" w:rsidRDefault="006B17A3" w:rsidP="006B17A3">
            <w:pPr>
              <w:spacing w:after="0" w:line="240" w:lineRule="auto"/>
              <w:jc w:val="center"/>
              <w:rPr>
                <w:rFonts w:ascii="Calibri" w:eastAsia="Times New Roman" w:hAnsi="Calibri" w:cs="Calibri"/>
                <w:color w:val="000000"/>
                <w:sz w:val="20"/>
                <w:szCs w:val="20"/>
              </w:rPr>
            </w:pPr>
            <w:r w:rsidRPr="006B17A3">
              <w:rPr>
                <w:rFonts w:ascii="Calibri" w:eastAsia="Times New Roman" w:hAnsi="Calibri" w:cs="Calibri"/>
                <w:color w:val="000000"/>
                <w:sz w:val="20"/>
                <w:szCs w:val="20"/>
              </w:rPr>
              <w:t>+60%</w:t>
            </w:r>
          </w:p>
        </w:tc>
      </w:tr>
    </w:tbl>
    <w:p w14:paraId="1477B494" w14:textId="77777777" w:rsidR="006B17A3" w:rsidRDefault="006B17A3" w:rsidP="00791F31">
      <w:pPr>
        <w:pStyle w:val="Caption"/>
        <w:jc w:val="center"/>
        <w:rPr>
          <w:sz w:val="20"/>
          <w:szCs w:val="20"/>
        </w:rPr>
      </w:pPr>
    </w:p>
    <w:p w14:paraId="53045996" w14:textId="4F574970" w:rsidR="00D26880" w:rsidRPr="006B17A3" w:rsidRDefault="00141BEC" w:rsidP="006B17A3">
      <w:pPr>
        <w:pStyle w:val="Caption"/>
        <w:jc w:val="center"/>
        <w:rPr>
          <w:sz w:val="20"/>
          <w:szCs w:val="20"/>
        </w:rPr>
      </w:pPr>
      <w:r w:rsidRPr="009E185D">
        <w:rPr>
          <w:sz w:val="20"/>
          <w:szCs w:val="20"/>
        </w:rPr>
        <w:t xml:space="preserve">Figure </w:t>
      </w:r>
      <w:r w:rsidRPr="009E185D">
        <w:rPr>
          <w:sz w:val="20"/>
          <w:szCs w:val="20"/>
        </w:rPr>
        <w:fldChar w:fldCharType="begin"/>
      </w:r>
      <w:r w:rsidRPr="009E185D">
        <w:rPr>
          <w:sz w:val="20"/>
          <w:szCs w:val="20"/>
        </w:rPr>
        <w:instrText xml:space="preserve"> SEQ Figure \* ARABIC </w:instrText>
      </w:r>
      <w:r w:rsidRPr="009E185D">
        <w:rPr>
          <w:sz w:val="20"/>
          <w:szCs w:val="20"/>
        </w:rPr>
        <w:fldChar w:fldCharType="separate"/>
      </w:r>
      <w:r w:rsidR="0041367A" w:rsidRPr="009E185D">
        <w:rPr>
          <w:noProof/>
          <w:sz w:val="20"/>
          <w:szCs w:val="20"/>
        </w:rPr>
        <w:t>5</w:t>
      </w:r>
      <w:r w:rsidRPr="009E185D">
        <w:rPr>
          <w:sz w:val="20"/>
          <w:szCs w:val="20"/>
        </w:rPr>
        <w:fldChar w:fldCharType="end"/>
      </w:r>
      <w:r w:rsidRPr="009E185D">
        <w:rPr>
          <w:sz w:val="20"/>
          <w:szCs w:val="20"/>
        </w:rPr>
        <w:t xml:space="preserve">. </w:t>
      </w:r>
      <w:r w:rsidR="00412663" w:rsidRPr="009E185D">
        <w:rPr>
          <w:sz w:val="20"/>
          <w:szCs w:val="20"/>
        </w:rPr>
        <w:t xml:space="preserve">Map of </w:t>
      </w:r>
      <w:r w:rsidRPr="009E185D">
        <w:rPr>
          <w:sz w:val="20"/>
          <w:szCs w:val="20"/>
        </w:rPr>
        <w:t>Davidson C</w:t>
      </w:r>
      <w:r w:rsidR="00412663" w:rsidRPr="009E185D">
        <w:rPr>
          <w:sz w:val="20"/>
          <w:szCs w:val="20"/>
        </w:rPr>
        <w:t>ounty cluster outcomes</w:t>
      </w:r>
      <w:r w:rsidR="009E185D">
        <w:rPr>
          <w:sz w:val="20"/>
          <w:szCs w:val="20"/>
        </w:rPr>
        <w:t xml:space="preserve"> (2000 – 2019)</w:t>
      </w:r>
    </w:p>
    <w:p w14:paraId="243BB030" w14:textId="1E431108" w:rsidR="00D26880" w:rsidRPr="001F6FAE" w:rsidRDefault="00D26880" w:rsidP="001F6FAE">
      <w:r>
        <w:t xml:space="preserve">Figure 8 displays the results of the </w:t>
      </w:r>
      <w:r w:rsidR="008A692E">
        <w:t xml:space="preserve">five </w:t>
      </w:r>
      <w:r>
        <w:t>neighborhood change cluster</w:t>
      </w:r>
      <w:r w:rsidR="008A692E">
        <w:t>s</w:t>
      </w:r>
      <w:r>
        <w:t xml:space="preserve"> within Davidson County.  </w:t>
      </w:r>
    </w:p>
    <w:p w14:paraId="374679C4" w14:textId="12032232" w:rsidR="00C42A23" w:rsidRPr="00FC5C4C" w:rsidRDefault="008A692E" w:rsidP="00400709">
      <w:pPr>
        <w:pStyle w:val="Caption"/>
        <w:jc w:val="center"/>
        <w:rPr>
          <w:i w:val="0"/>
          <w:iCs w:val="0"/>
        </w:rPr>
      </w:pPr>
      <w:r>
        <w:rPr>
          <w:i w:val="0"/>
          <w:iCs w:val="0"/>
          <w:noProof/>
        </w:rPr>
        <w:drawing>
          <wp:inline distT="0" distB="0" distL="0" distR="0" wp14:anchorId="536F435D" wp14:editId="4311D5C7">
            <wp:extent cx="4297680" cy="3383046"/>
            <wp:effectExtent l="0" t="0" r="762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8084"/>
                    <a:stretch/>
                  </pic:blipFill>
                  <pic:spPr bwMode="auto">
                    <a:xfrm>
                      <a:off x="0" y="0"/>
                      <a:ext cx="4299051" cy="3384125"/>
                    </a:xfrm>
                    <a:prstGeom prst="rect">
                      <a:avLst/>
                    </a:prstGeom>
                    <a:noFill/>
                    <a:ln>
                      <a:noFill/>
                    </a:ln>
                    <a:extLst>
                      <a:ext uri="{53640926-AAD7-44D8-BBD7-CCE9431645EC}">
                        <a14:shadowObscured xmlns:a14="http://schemas.microsoft.com/office/drawing/2010/main"/>
                      </a:ext>
                    </a:extLst>
                  </pic:spPr>
                </pic:pic>
              </a:graphicData>
            </a:graphic>
          </wp:inline>
        </w:drawing>
      </w:r>
    </w:p>
    <w:p w14:paraId="698BE577" w14:textId="727FABA2" w:rsidR="00412663" w:rsidRPr="009E185D" w:rsidRDefault="00412663" w:rsidP="00412663">
      <w:pPr>
        <w:jc w:val="center"/>
        <w:rPr>
          <w:i/>
          <w:iCs/>
          <w:sz w:val="20"/>
          <w:szCs w:val="20"/>
        </w:rPr>
      </w:pPr>
      <w:r w:rsidRPr="009E185D">
        <w:rPr>
          <w:i/>
          <w:iCs/>
          <w:sz w:val="20"/>
          <w:szCs w:val="20"/>
        </w:rPr>
        <w:t>Figure 8. Davidson County normalized neighborhood change typologies</w:t>
      </w:r>
      <w:r w:rsidR="00D26880">
        <w:rPr>
          <w:i/>
          <w:iCs/>
          <w:sz w:val="20"/>
          <w:szCs w:val="20"/>
        </w:rPr>
        <w:t xml:space="preserve">. </w:t>
      </w:r>
      <w:r w:rsidR="002E2938">
        <w:rPr>
          <w:i/>
          <w:iCs/>
          <w:sz w:val="20"/>
          <w:szCs w:val="20"/>
        </w:rPr>
        <w:t>“NA” tracts are entirely non-residential areas.</w:t>
      </w:r>
    </w:p>
    <w:p w14:paraId="76240BCA" w14:textId="2BD20969" w:rsidR="00791F31" w:rsidRPr="00412663" w:rsidRDefault="002E2938" w:rsidP="00C42A23">
      <w:pPr>
        <w:jc w:val="center"/>
        <w:rPr>
          <w:i/>
          <w:iCs/>
        </w:rPr>
      </w:pPr>
      <w:r>
        <w:rPr>
          <w:i/>
          <w:iCs/>
          <w:noProof/>
        </w:rPr>
        <w:lastRenderedPageBreak/>
        <w:drawing>
          <wp:inline distT="0" distB="0" distL="0" distR="0" wp14:anchorId="24E65657" wp14:editId="0D2FAF9C">
            <wp:extent cx="5212080" cy="3504067"/>
            <wp:effectExtent l="0" t="0" r="7620" b="1270"/>
            <wp:docPr id="16" name="Picture 1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 polygon&#10;&#10;Description automatically generated"/>
                    <pic:cNvPicPr/>
                  </pic:nvPicPr>
                  <pic:blipFill rotWithShape="1">
                    <a:blip r:embed="rId13" cstate="print">
                      <a:extLst>
                        <a:ext uri="{28A0092B-C50C-407E-A947-70E740481C1C}">
                          <a14:useLocalDpi xmlns:a14="http://schemas.microsoft.com/office/drawing/2010/main" val="0"/>
                        </a:ext>
                      </a:extLst>
                    </a:blip>
                    <a:srcRect l="12436" t="8133" r="11667" b="4396"/>
                    <a:stretch/>
                  </pic:blipFill>
                  <pic:spPr bwMode="auto">
                    <a:xfrm>
                      <a:off x="0" y="0"/>
                      <a:ext cx="5219131" cy="3508807"/>
                    </a:xfrm>
                    <a:prstGeom prst="rect">
                      <a:avLst/>
                    </a:prstGeom>
                    <a:ln>
                      <a:noFill/>
                    </a:ln>
                    <a:extLst>
                      <a:ext uri="{53640926-AAD7-44D8-BBD7-CCE9431645EC}">
                        <a14:shadowObscured xmlns:a14="http://schemas.microsoft.com/office/drawing/2010/main"/>
                      </a:ext>
                    </a:extLst>
                  </pic:spPr>
                </pic:pic>
              </a:graphicData>
            </a:graphic>
          </wp:inline>
        </w:drawing>
      </w:r>
    </w:p>
    <w:p w14:paraId="25990290" w14:textId="38E875A9" w:rsidR="00EC787E" w:rsidRPr="009E185D" w:rsidRDefault="006D418B" w:rsidP="006D418B">
      <w:pPr>
        <w:jc w:val="center"/>
        <w:rPr>
          <w:i/>
          <w:iCs/>
          <w:sz w:val="20"/>
          <w:szCs w:val="20"/>
        </w:rPr>
      </w:pPr>
      <w:r w:rsidRPr="009E185D">
        <w:rPr>
          <w:i/>
          <w:iCs/>
          <w:sz w:val="20"/>
          <w:szCs w:val="20"/>
        </w:rPr>
        <w:t xml:space="preserve">Figure 9. Nashville cluster groups starting (2000) and ending (2019) values </w:t>
      </w:r>
    </w:p>
    <w:p w14:paraId="7A042813" w14:textId="036590C3" w:rsidR="00EC787E" w:rsidRDefault="00E574F8" w:rsidP="001F6FAE">
      <w:pPr>
        <w:jc w:val="center"/>
        <w:rPr>
          <w:rFonts w:ascii="Calibri" w:hAnsi="Calibri" w:cs="Calibri"/>
          <w:b/>
          <w:bCs/>
          <w:color w:val="000000"/>
          <w:sz w:val="28"/>
          <w:szCs w:val="28"/>
        </w:rPr>
      </w:pPr>
      <w:r>
        <w:rPr>
          <w:rFonts w:ascii="Calibri" w:hAnsi="Calibri" w:cs="Calibri"/>
          <w:b/>
          <w:bCs/>
          <w:noProof/>
          <w:color w:val="000000"/>
          <w:sz w:val="28"/>
          <w:szCs w:val="28"/>
        </w:rPr>
        <w:lastRenderedPageBreak/>
        <w:drawing>
          <wp:inline distT="0" distB="0" distL="0" distR="0" wp14:anchorId="77718F23" wp14:editId="6533F727">
            <wp:extent cx="5943600" cy="5349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349240"/>
                    </a:xfrm>
                    <a:prstGeom prst="rect">
                      <a:avLst/>
                    </a:prstGeom>
                    <a:noFill/>
                    <a:ln>
                      <a:noFill/>
                    </a:ln>
                  </pic:spPr>
                </pic:pic>
              </a:graphicData>
            </a:graphic>
          </wp:inline>
        </w:drawing>
      </w:r>
    </w:p>
    <w:p w14:paraId="7E8F74AD" w14:textId="0D5EE4FB" w:rsidR="00AB26E0" w:rsidRDefault="00044A7B" w:rsidP="004028E2">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xml:space="preserve">Cluster </w:t>
      </w:r>
      <w:r w:rsidR="00830B63">
        <w:rPr>
          <w:rFonts w:ascii="Calibri" w:hAnsi="Calibri" w:cs="Calibri"/>
          <w:color w:val="000000"/>
        </w:rPr>
        <w:t>1</w:t>
      </w:r>
      <w:r w:rsidR="00EC787E" w:rsidRPr="00EC787E">
        <w:rPr>
          <w:rFonts w:ascii="Calibri" w:hAnsi="Calibri" w:cs="Calibri"/>
          <w:color w:val="000000"/>
        </w:rPr>
        <w:t xml:space="preserve"> comprises </w:t>
      </w:r>
      <w:r w:rsidR="006B17A3">
        <w:rPr>
          <w:rFonts w:ascii="Calibri" w:hAnsi="Calibri" w:cs="Calibri"/>
          <w:color w:val="000000"/>
        </w:rPr>
        <w:t>59</w:t>
      </w:r>
      <w:r w:rsidR="00EC787E" w:rsidRPr="00EC787E">
        <w:rPr>
          <w:rFonts w:ascii="Calibri" w:hAnsi="Calibri" w:cs="Calibri"/>
          <w:color w:val="000000"/>
        </w:rPr>
        <w:t xml:space="preserve"> </w:t>
      </w:r>
      <w:r w:rsidR="00BE1C8F">
        <w:rPr>
          <w:rFonts w:ascii="Calibri" w:hAnsi="Calibri" w:cs="Calibri"/>
          <w:color w:val="000000"/>
        </w:rPr>
        <w:t>c</w:t>
      </w:r>
      <w:r w:rsidR="00EC787E" w:rsidRPr="00EC787E">
        <w:rPr>
          <w:rFonts w:ascii="Calibri" w:hAnsi="Calibri" w:cs="Calibri"/>
          <w:color w:val="000000"/>
        </w:rPr>
        <w:t xml:space="preserve">ensus tracts. </w:t>
      </w:r>
      <w:r w:rsidR="00830B63">
        <w:rPr>
          <w:rFonts w:ascii="Calibri" w:hAnsi="Calibri" w:cs="Calibri"/>
          <w:color w:val="000000"/>
        </w:rPr>
        <w:t>T</w:t>
      </w:r>
      <w:r w:rsidR="00EC787E" w:rsidRPr="00EC787E">
        <w:rPr>
          <w:rFonts w:ascii="Calibri" w:hAnsi="Calibri" w:cs="Calibri"/>
          <w:color w:val="000000"/>
        </w:rPr>
        <w:t xml:space="preserve">his neighborhood change typology </w:t>
      </w:r>
      <w:r w:rsidR="000E3040">
        <w:rPr>
          <w:rFonts w:ascii="Calibri" w:hAnsi="Calibri" w:cs="Calibri"/>
          <w:color w:val="000000"/>
        </w:rPr>
        <w:t xml:space="preserve">includes some of the </w:t>
      </w:r>
      <w:r w:rsidR="002F7F80">
        <w:rPr>
          <w:rFonts w:ascii="Calibri" w:hAnsi="Calibri" w:cs="Calibri"/>
          <w:color w:val="000000"/>
        </w:rPr>
        <w:t>wealth</w:t>
      </w:r>
      <w:r w:rsidR="006D418B">
        <w:rPr>
          <w:rFonts w:ascii="Calibri" w:hAnsi="Calibri" w:cs="Calibri"/>
          <w:color w:val="000000"/>
        </w:rPr>
        <w:t>i</w:t>
      </w:r>
      <w:r w:rsidR="000E3040">
        <w:rPr>
          <w:rFonts w:ascii="Calibri" w:hAnsi="Calibri" w:cs="Calibri"/>
          <w:color w:val="000000"/>
        </w:rPr>
        <w:t>est and whitest</w:t>
      </w:r>
      <w:r w:rsidR="006D418B">
        <w:rPr>
          <w:rFonts w:ascii="Calibri" w:hAnsi="Calibri" w:cs="Calibri"/>
          <w:color w:val="000000"/>
        </w:rPr>
        <w:t xml:space="preserve"> more </w:t>
      </w:r>
      <w:r w:rsidR="004028E2">
        <w:rPr>
          <w:rFonts w:ascii="Calibri" w:hAnsi="Calibri" w:cs="Calibri"/>
          <w:color w:val="000000"/>
        </w:rPr>
        <w:t>suburban communities</w:t>
      </w:r>
      <w:r w:rsidR="00F30B56">
        <w:rPr>
          <w:rFonts w:ascii="Calibri" w:hAnsi="Calibri" w:cs="Calibri"/>
          <w:color w:val="000000"/>
        </w:rPr>
        <w:t>. This</w:t>
      </w:r>
      <w:r w:rsidR="002F7F80">
        <w:rPr>
          <w:rFonts w:ascii="Calibri" w:hAnsi="Calibri" w:cs="Calibri"/>
          <w:color w:val="000000"/>
        </w:rPr>
        <w:t xml:space="preserve"> typology</w:t>
      </w:r>
      <w:r w:rsidR="00F30B56">
        <w:rPr>
          <w:rFonts w:ascii="Calibri" w:hAnsi="Calibri" w:cs="Calibri"/>
          <w:color w:val="000000"/>
        </w:rPr>
        <w:t xml:space="preserve"> </w:t>
      </w:r>
      <w:r w:rsidR="006D418B">
        <w:rPr>
          <w:rFonts w:ascii="Calibri" w:hAnsi="Calibri" w:cs="Calibri"/>
          <w:color w:val="000000"/>
        </w:rPr>
        <w:t>is composed of</w:t>
      </w:r>
      <w:r w:rsidR="004B2D71">
        <w:rPr>
          <w:rFonts w:ascii="Calibri" w:hAnsi="Calibri" w:cs="Calibri"/>
          <w:color w:val="000000"/>
        </w:rPr>
        <w:t xml:space="preserve"> Davidson County’s most expensive</w:t>
      </w:r>
      <w:r w:rsidR="002F7F80">
        <w:rPr>
          <w:rFonts w:ascii="Calibri" w:hAnsi="Calibri" w:cs="Calibri"/>
          <w:color w:val="000000"/>
        </w:rPr>
        <w:t xml:space="preserve"> home</w:t>
      </w:r>
      <w:r w:rsidR="004B2D71">
        <w:rPr>
          <w:rFonts w:ascii="Calibri" w:hAnsi="Calibri" w:cs="Calibri"/>
          <w:color w:val="000000"/>
        </w:rPr>
        <w:t xml:space="preserve"> and</w:t>
      </w:r>
      <w:r w:rsidR="002F7F80">
        <w:rPr>
          <w:rFonts w:ascii="Calibri" w:hAnsi="Calibri" w:cs="Calibri"/>
          <w:color w:val="000000"/>
        </w:rPr>
        <w:t xml:space="preserve"> rent</w:t>
      </w:r>
      <w:r w:rsidR="004B2D71">
        <w:rPr>
          <w:rFonts w:ascii="Calibri" w:hAnsi="Calibri" w:cs="Calibri"/>
          <w:color w:val="000000"/>
        </w:rPr>
        <w:t xml:space="preserve"> census tracts as well as the highest</w:t>
      </w:r>
      <w:r w:rsidR="002F7F80">
        <w:rPr>
          <w:rFonts w:ascii="Calibri" w:hAnsi="Calibri" w:cs="Calibri"/>
          <w:color w:val="000000"/>
        </w:rPr>
        <w:t xml:space="preserve"> income, college, and white </w:t>
      </w:r>
      <w:r w:rsidR="001B4C47">
        <w:rPr>
          <w:rFonts w:ascii="Calibri" w:hAnsi="Calibri" w:cs="Calibri"/>
          <w:color w:val="000000"/>
        </w:rPr>
        <w:t>census tracts</w:t>
      </w:r>
      <w:r w:rsidR="00412663">
        <w:rPr>
          <w:rFonts w:ascii="Calibri" w:hAnsi="Calibri" w:cs="Calibri"/>
          <w:color w:val="000000"/>
        </w:rPr>
        <w:t xml:space="preserve"> </w:t>
      </w:r>
      <w:r w:rsidR="006D418B">
        <w:rPr>
          <w:rFonts w:ascii="Calibri" w:hAnsi="Calibri" w:cs="Calibri"/>
          <w:color w:val="000000"/>
        </w:rPr>
        <w:t xml:space="preserve">in </w:t>
      </w:r>
      <w:r w:rsidR="004B2D71">
        <w:rPr>
          <w:rFonts w:ascii="Calibri" w:hAnsi="Calibri" w:cs="Calibri"/>
          <w:color w:val="000000"/>
        </w:rPr>
        <w:t xml:space="preserve">both </w:t>
      </w:r>
      <w:r w:rsidR="006D418B">
        <w:rPr>
          <w:rFonts w:ascii="Calibri" w:hAnsi="Calibri" w:cs="Calibri"/>
          <w:color w:val="000000"/>
        </w:rPr>
        <w:t>2000 and 2019</w:t>
      </w:r>
      <w:r w:rsidR="004B2D71">
        <w:rPr>
          <w:rFonts w:ascii="Calibri" w:hAnsi="Calibri" w:cs="Calibri"/>
          <w:color w:val="000000"/>
        </w:rPr>
        <w:t>. This neighborhood typology began the millennium above average the measured socioeconomic variables and modestly increased this status over nearly two decades.</w:t>
      </w:r>
      <w:r w:rsidR="00A145E7">
        <w:rPr>
          <w:rFonts w:ascii="Calibri" w:hAnsi="Calibri" w:cs="Calibri"/>
          <w:color w:val="000000"/>
        </w:rPr>
        <w:t xml:space="preserve"> This cluster saw little change in income</w:t>
      </w:r>
      <w:r w:rsidR="00EA1ED7">
        <w:rPr>
          <w:rFonts w:ascii="Calibri" w:hAnsi="Calibri" w:cs="Calibri"/>
          <w:color w:val="000000"/>
        </w:rPr>
        <w:t xml:space="preserve">, white, </w:t>
      </w:r>
      <w:r w:rsidR="00A145E7">
        <w:rPr>
          <w:rFonts w:ascii="Calibri" w:hAnsi="Calibri" w:cs="Calibri"/>
          <w:color w:val="000000"/>
        </w:rPr>
        <w:t>and college</w:t>
      </w:r>
      <w:r w:rsidR="00EA1ED7">
        <w:rPr>
          <w:rFonts w:ascii="Calibri" w:hAnsi="Calibri" w:cs="Calibri"/>
          <w:color w:val="000000"/>
        </w:rPr>
        <w:t>-educated</w:t>
      </w:r>
      <w:r w:rsidR="00A145E7">
        <w:rPr>
          <w:rFonts w:ascii="Calibri" w:hAnsi="Calibri" w:cs="Calibri"/>
          <w:color w:val="000000"/>
        </w:rPr>
        <w:t xml:space="preserve"> residents</w:t>
      </w:r>
      <w:r w:rsidR="00EA1ED7">
        <w:rPr>
          <w:rFonts w:ascii="Calibri" w:hAnsi="Calibri" w:cs="Calibri"/>
          <w:color w:val="000000"/>
        </w:rPr>
        <w:t xml:space="preserve"> relative to other clusters</w:t>
      </w:r>
      <w:r w:rsidR="00A145E7">
        <w:rPr>
          <w:rFonts w:ascii="Calibri" w:hAnsi="Calibri" w:cs="Calibri"/>
          <w:color w:val="000000"/>
        </w:rPr>
        <w:t xml:space="preserve"> suggesting it is stable </w:t>
      </w:r>
      <w:proofErr w:type="gramStart"/>
      <w:r w:rsidR="00A145E7">
        <w:rPr>
          <w:rFonts w:ascii="Calibri" w:hAnsi="Calibri" w:cs="Calibri"/>
          <w:color w:val="000000"/>
        </w:rPr>
        <w:t>middle and upper class</w:t>
      </w:r>
      <w:proofErr w:type="gramEnd"/>
      <w:r w:rsidR="00A145E7">
        <w:rPr>
          <w:rFonts w:ascii="Calibri" w:hAnsi="Calibri" w:cs="Calibri"/>
          <w:color w:val="000000"/>
        </w:rPr>
        <w:t xml:space="preserve"> suburbs</w:t>
      </w:r>
      <w:r w:rsidR="00EA1ED7">
        <w:rPr>
          <w:rFonts w:ascii="Calibri" w:hAnsi="Calibri" w:cs="Calibri"/>
          <w:color w:val="000000"/>
        </w:rPr>
        <w:t>.</w:t>
      </w:r>
    </w:p>
    <w:p w14:paraId="7699A1DC" w14:textId="7EE378F1" w:rsidR="00791F31" w:rsidRDefault="00791F31" w:rsidP="004028E2">
      <w:pPr>
        <w:autoSpaceDE w:val="0"/>
        <w:autoSpaceDN w:val="0"/>
        <w:adjustRightInd w:val="0"/>
        <w:spacing w:after="0" w:line="240" w:lineRule="auto"/>
        <w:ind w:firstLine="720"/>
        <w:rPr>
          <w:rFonts w:ascii="Calibri" w:hAnsi="Calibri" w:cs="Calibri"/>
          <w:color w:val="000000"/>
        </w:rPr>
      </w:pPr>
    </w:p>
    <w:p w14:paraId="4354C947" w14:textId="53A5B8CB" w:rsidR="00791F31" w:rsidRPr="009E185D" w:rsidRDefault="00791F31" w:rsidP="00791F31">
      <w:pPr>
        <w:pStyle w:val="Caption"/>
        <w:keepNext/>
        <w:jc w:val="center"/>
        <w:rPr>
          <w:sz w:val="20"/>
          <w:szCs w:val="20"/>
        </w:rPr>
      </w:pPr>
      <w:r w:rsidRPr="009E185D">
        <w:rPr>
          <w:sz w:val="20"/>
          <w:szCs w:val="20"/>
        </w:rPr>
        <w:t xml:space="preserve">Table </w:t>
      </w:r>
      <w:r w:rsidR="008E7477" w:rsidRPr="009E185D">
        <w:rPr>
          <w:sz w:val="20"/>
          <w:szCs w:val="20"/>
        </w:rPr>
        <w:fldChar w:fldCharType="begin"/>
      </w:r>
      <w:r w:rsidR="008E7477" w:rsidRPr="009E185D">
        <w:rPr>
          <w:sz w:val="20"/>
          <w:szCs w:val="20"/>
        </w:rPr>
        <w:instrText xml:space="preserve"> SEQ Table \* ARABIC </w:instrText>
      </w:r>
      <w:r w:rsidR="008E7477" w:rsidRPr="009E185D">
        <w:rPr>
          <w:sz w:val="20"/>
          <w:szCs w:val="20"/>
        </w:rPr>
        <w:fldChar w:fldCharType="separate"/>
      </w:r>
      <w:r w:rsidR="00044A7B" w:rsidRPr="009E185D">
        <w:rPr>
          <w:noProof/>
          <w:sz w:val="20"/>
          <w:szCs w:val="20"/>
        </w:rPr>
        <w:t>4</w:t>
      </w:r>
      <w:r w:rsidR="008E7477" w:rsidRPr="009E185D">
        <w:rPr>
          <w:noProof/>
          <w:sz w:val="20"/>
          <w:szCs w:val="20"/>
        </w:rPr>
        <w:fldChar w:fldCharType="end"/>
      </w:r>
      <w:r w:rsidRPr="009E185D">
        <w:rPr>
          <w:sz w:val="20"/>
          <w:szCs w:val="20"/>
        </w:rPr>
        <w:t>. Cluster 1 summary statistics</w:t>
      </w:r>
    </w:p>
    <w:tbl>
      <w:tblPr>
        <w:tblW w:w="8540" w:type="dxa"/>
        <w:tblLook w:val="04A0" w:firstRow="1" w:lastRow="0" w:firstColumn="1" w:lastColumn="0" w:noHBand="0" w:noVBand="1"/>
      </w:tblPr>
      <w:tblGrid>
        <w:gridCol w:w="2440"/>
        <w:gridCol w:w="976"/>
        <w:gridCol w:w="976"/>
        <w:gridCol w:w="340"/>
        <w:gridCol w:w="866"/>
        <w:gridCol w:w="859"/>
        <w:gridCol w:w="1121"/>
        <w:gridCol w:w="994"/>
      </w:tblGrid>
      <w:tr w:rsidR="00D47A5D" w:rsidRPr="00D47A5D" w14:paraId="7A175AF3" w14:textId="77777777" w:rsidTr="00D47A5D">
        <w:trPr>
          <w:trHeight w:val="288"/>
        </w:trPr>
        <w:tc>
          <w:tcPr>
            <w:tcW w:w="2440" w:type="dxa"/>
            <w:vMerge w:val="restart"/>
            <w:tcBorders>
              <w:top w:val="single" w:sz="4" w:space="0" w:color="auto"/>
              <w:left w:val="nil"/>
              <w:bottom w:val="single" w:sz="4" w:space="0" w:color="000000"/>
              <w:right w:val="nil"/>
            </w:tcBorders>
            <w:shd w:val="clear" w:color="000000" w:fill="FFFFFF"/>
            <w:noWrap/>
            <w:vAlign w:val="center"/>
            <w:hideMark/>
          </w:tcPr>
          <w:p w14:paraId="5D945E57"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Cluster 1 (n=59)</w:t>
            </w:r>
          </w:p>
        </w:tc>
        <w:tc>
          <w:tcPr>
            <w:tcW w:w="960" w:type="dxa"/>
            <w:tcBorders>
              <w:top w:val="single" w:sz="4" w:space="0" w:color="auto"/>
              <w:left w:val="nil"/>
              <w:bottom w:val="nil"/>
              <w:right w:val="nil"/>
            </w:tcBorders>
            <w:shd w:val="clear" w:color="000000" w:fill="FFFFFF"/>
            <w:noWrap/>
            <w:vAlign w:val="center"/>
            <w:hideMark/>
          </w:tcPr>
          <w:p w14:paraId="1FF427CB"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2000</w:t>
            </w:r>
          </w:p>
        </w:tc>
        <w:tc>
          <w:tcPr>
            <w:tcW w:w="960" w:type="dxa"/>
            <w:tcBorders>
              <w:top w:val="single" w:sz="4" w:space="0" w:color="auto"/>
              <w:left w:val="nil"/>
              <w:bottom w:val="nil"/>
              <w:right w:val="nil"/>
            </w:tcBorders>
            <w:shd w:val="clear" w:color="000000" w:fill="FFFFFF"/>
            <w:noWrap/>
            <w:vAlign w:val="center"/>
            <w:hideMark/>
          </w:tcPr>
          <w:p w14:paraId="74A757B5"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2019</w:t>
            </w:r>
          </w:p>
        </w:tc>
        <w:tc>
          <w:tcPr>
            <w:tcW w:w="340" w:type="dxa"/>
            <w:tcBorders>
              <w:top w:val="single" w:sz="4" w:space="0" w:color="auto"/>
              <w:left w:val="nil"/>
              <w:bottom w:val="nil"/>
              <w:right w:val="nil"/>
            </w:tcBorders>
            <w:shd w:val="clear" w:color="000000" w:fill="FFFFFF"/>
            <w:noWrap/>
            <w:vAlign w:val="center"/>
            <w:hideMark/>
          </w:tcPr>
          <w:p w14:paraId="52DCA719"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 </w:t>
            </w:r>
          </w:p>
        </w:tc>
        <w:tc>
          <w:tcPr>
            <w:tcW w:w="3840" w:type="dxa"/>
            <w:gridSpan w:val="4"/>
            <w:tcBorders>
              <w:top w:val="single" w:sz="4" w:space="0" w:color="auto"/>
              <w:left w:val="nil"/>
              <w:bottom w:val="nil"/>
              <w:right w:val="nil"/>
            </w:tcBorders>
            <w:shd w:val="clear" w:color="000000" w:fill="FFFFFF"/>
            <w:noWrap/>
            <w:vAlign w:val="center"/>
            <w:hideMark/>
          </w:tcPr>
          <w:p w14:paraId="76035D18"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Percent Change</w:t>
            </w:r>
          </w:p>
        </w:tc>
      </w:tr>
      <w:tr w:rsidR="00D47A5D" w:rsidRPr="00D47A5D" w14:paraId="5D1AC3FA" w14:textId="77777777" w:rsidTr="00D47A5D">
        <w:trPr>
          <w:trHeight w:val="288"/>
        </w:trPr>
        <w:tc>
          <w:tcPr>
            <w:tcW w:w="2440" w:type="dxa"/>
            <w:vMerge/>
            <w:tcBorders>
              <w:top w:val="single" w:sz="4" w:space="0" w:color="auto"/>
              <w:left w:val="nil"/>
              <w:bottom w:val="single" w:sz="4" w:space="0" w:color="000000"/>
              <w:right w:val="nil"/>
            </w:tcBorders>
            <w:vAlign w:val="center"/>
            <w:hideMark/>
          </w:tcPr>
          <w:p w14:paraId="6D091895" w14:textId="77777777" w:rsidR="00D47A5D" w:rsidRPr="00D47A5D" w:rsidRDefault="00D47A5D" w:rsidP="00D47A5D">
            <w:pPr>
              <w:spacing w:after="0" w:line="240" w:lineRule="auto"/>
              <w:rPr>
                <w:rFonts w:ascii="Calibri" w:eastAsia="Times New Roman" w:hAnsi="Calibri" w:cs="Calibri"/>
                <w:b/>
                <w:bCs/>
                <w:color w:val="000000"/>
                <w:sz w:val="20"/>
                <w:szCs w:val="20"/>
              </w:rPr>
            </w:pPr>
          </w:p>
        </w:tc>
        <w:tc>
          <w:tcPr>
            <w:tcW w:w="960" w:type="dxa"/>
            <w:tcBorders>
              <w:top w:val="nil"/>
              <w:left w:val="nil"/>
              <w:bottom w:val="single" w:sz="4" w:space="0" w:color="auto"/>
              <w:right w:val="nil"/>
            </w:tcBorders>
            <w:shd w:val="clear" w:color="000000" w:fill="FFFFFF"/>
            <w:noWrap/>
            <w:vAlign w:val="center"/>
            <w:hideMark/>
          </w:tcPr>
          <w:p w14:paraId="1100F329" w14:textId="2E52D993" w:rsidR="00D47A5D" w:rsidRPr="00D47A5D" w:rsidRDefault="00D47A5D" w:rsidP="00D47A5D">
            <w:pPr>
              <w:spacing w:after="0" w:line="240" w:lineRule="auto"/>
              <w:jc w:val="center"/>
              <w:rPr>
                <w:rFonts w:ascii="Calibri" w:eastAsia="Times New Roman" w:hAnsi="Calibri" w:cs="Calibri"/>
                <w:i/>
                <w:iCs/>
                <w:color w:val="000000"/>
                <w:sz w:val="20"/>
                <w:szCs w:val="20"/>
              </w:rPr>
            </w:pPr>
            <w:r>
              <w:rPr>
                <w:rFonts w:ascii="Calibri" w:eastAsia="Times New Roman" w:hAnsi="Calibri" w:cs="Calibri"/>
                <w:i/>
                <w:iCs/>
                <w:color w:val="000000"/>
                <w:sz w:val="20"/>
                <w:szCs w:val="20"/>
              </w:rPr>
              <w:t>Median</w:t>
            </w:r>
          </w:p>
        </w:tc>
        <w:tc>
          <w:tcPr>
            <w:tcW w:w="960" w:type="dxa"/>
            <w:tcBorders>
              <w:top w:val="nil"/>
              <w:left w:val="nil"/>
              <w:bottom w:val="single" w:sz="4" w:space="0" w:color="auto"/>
              <w:right w:val="nil"/>
            </w:tcBorders>
            <w:shd w:val="clear" w:color="000000" w:fill="FFFFFF"/>
            <w:noWrap/>
            <w:vAlign w:val="center"/>
            <w:hideMark/>
          </w:tcPr>
          <w:p w14:paraId="6C7D1614" w14:textId="5F07FCB2" w:rsidR="00D47A5D" w:rsidRPr="00D47A5D" w:rsidRDefault="00D47A5D" w:rsidP="00D47A5D">
            <w:pPr>
              <w:spacing w:after="0" w:line="240" w:lineRule="auto"/>
              <w:jc w:val="center"/>
              <w:rPr>
                <w:rFonts w:ascii="Calibri" w:eastAsia="Times New Roman" w:hAnsi="Calibri" w:cs="Calibri"/>
                <w:i/>
                <w:iCs/>
                <w:color w:val="000000"/>
                <w:sz w:val="20"/>
                <w:szCs w:val="20"/>
              </w:rPr>
            </w:pPr>
            <w:r>
              <w:rPr>
                <w:rFonts w:ascii="Calibri" w:eastAsia="Times New Roman" w:hAnsi="Calibri" w:cs="Calibri"/>
                <w:i/>
                <w:iCs/>
                <w:color w:val="000000"/>
                <w:sz w:val="20"/>
                <w:szCs w:val="20"/>
              </w:rPr>
              <w:t>Median</w:t>
            </w:r>
          </w:p>
        </w:tc>
        <w:tc>
          <w:tcPr>
            <w:tcW w:w="340" w:type="dxa"/>
            <w:tcBorders>
              <w:top w:val="nil"/>
              <w:left w:val="nil"/>
              <w:bottom w:val="single" w:sz="4" w:space="0" w:color="auto"/>
              <w:right w:val="nil"/>
            </w:tcBorders>
            <w:shd w:val="clear" w:color="000000" w:fill="FFFFFF"/>
            <w:noWrap/>
            <w:vAlign w:val="center"/>
            <w:hideMark/>
          </w:tcPr>
          <w:p w14:paraId="15C4E139"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 </w:t>
            </w:r>
          </w:p>
        </w:tc>
        <w:tc>
          <w:tcPr>
            <w:tcW w:w="866" w:type="dxa"/>
            <w:tcBorders>
              <w:top w:val="nil"/>
              <w:left w:val="nil"/>
              <w:bottom w:val="single" w:sz="4" w:space="0" w:color="auto"/>
              <w:right w:val="nil"/>
            </w:tcBorders>
            <w:shd w:val="clear" w:color="000000" w:fill="FFFFFF"/>
            <w:noWrap/>
            <w:vAlign w:val="center"/>
            <w:hideMark/>
          </w:tcPr>
          <w:p w14:paraId="3D01072C"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Mean</w:t>
            </w:r>
          </w:p>
        </w:tc>
        <w:tc>
          <w:tcPr>
            <w:tcW w:w="859" w:type="dxa"/>
            <w:tcBorders>
              <w:top w:val="nil"/>
              <w:left w:val="nil"/>
              <w:bottom w:val="single" w:sz="4" w:space="0" w:color="auto"/>
              <w:right w:val="nil"/>
            </w:tcBorders>
            <w:shd w:val="clear" w:color="000000" w:fill="FFFFFF"/>
            <w:noWrap/>
            <w:vAlign w:val="center"/>
            <w:hideMark/>
          </w:tcPr>
          <w:p w14:paraId="6B7CF70D"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Min.</w:t>
            </w:r>
          </w:p>
        </w:tc>
        <w:tc>
          <w:tcPr>
            <w:tcW w:w="1121" w:type="dxa"/>
            <w:tcBorders>
              <w:top w:val="nil"/>
              <w:left w:val="nil"/>
              <w:bottom w:val="single" w:sz="4" w:space="0" w:color="auto"/>
              <w:right w:val="nil"/>
            </w:tcBorders>
            <w:shd w:val="clear" w:color="000000" w:fill="FFFFFF"/>
            <w:noWrap/>
            <w:vAlign w:val="center"/>
            <w:hideMark/>
          </w:tcPr>
          <w:p w14:paraId="341EA649"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94" w:type="dxa"/>
            <w:tcBorders>
              <w:top w:val="nil"/>
              <w:left w:val="nil"/>
              <w:bottom w:val="single" w:sz="4" w:space="0" w:color="auto"/>
              <w:right w:val="nil"/>
            </w:tcBorders>
            <w:shd w:val="clear" w:color="000000" w:fill="FFFFFF"/>
            <w:noWrap/>
            <w:vAlign w:val="center"/>
            <w:hideMark/>
          </w:tcPr>
          <w:p w14:paraId="16DDFC0A"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Max.</w:t>
            </w:r>
          </w:p>
        </w:tc>
      </w:tr>
      <w:tr w:rsidR="00D47A5D" w:rsidRPr="00D47A5D" w14:paraId="67A9303F" w14:textId="77777777" w:rsidTr="00D47A5D">
        <w:trPr>
          <w:trHeight w:val="288"/>
        </w:trPr>
        <w:tc>
          <w:tcPr>
            <w:tcW w:w="2440" w:type="dxa"/>
            <w:tcBorders>
              <w:top w:val="nil"/>
              <w:left w:val="nil"/>
              <w:bottom w:val="nil"/>
              <w:right w:val="nil"/>
            </w:tcBorders>
            <w:shd w:val="clear" w:color="000000" w:fill="FFFFFF"/>
            <w:noWrap/>
            <w:vAlign w:val="bottom"/>
            <w:hideMark/>
          </w:tcPr>
          <w:p w14:paraId="66DD3E6F"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50B128C0"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37753454"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340" w:type="dxa"/>
            <w:tcBorders>
              <w:top w:val="nil"/>
              <w:left w:val="nil"/>
              <w:bottom w:val="nil"/>
              <w:right w:val="nil"/>
            </w:tcBorders>
            <w:shd w:val="clear" w:color="000000" w:fill="FFFFFF"/>
            <w:noWrap/>
            <w:vAlign w:val="bottom"/>
            <w:hideMark/>
          </w:tcPr>
          <w:p w14:paraId="2665478B"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bottom"/>
            <w:hideMark/>
          </w:tcPr>
          <w:p w14:paraId="16766ED9"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59" w:type="dxa"/>
            <w:tcBorders>
              <w:top w:val="nil"/>
              <w:left w:val="nil"/>
              <w:bottom w:val="nil"/>
              <w:right w:val="nil"/>
            </w:tcBorders>
            <w:shd w:val="clear" w:color="000000" w:fill="FFFFFF"/>
            <w:noWrap/>
            <w:vAlign w:val="bottom"/>
            <w:hideMark/>
          </w:tcPr>
          <w:p w14:paraId="58873C05"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1121" w:type="dxa"/>
            <w:tcBorders>
              <w:top w:val="nil"/>
              <w:left w:val="nil"/>
              <w:bottom w:val="nil"/>
              <w:right w:val="nil"/>
            </w:tcBorders>
            <w:shd w:val="clear" w:color="000000" w:fill="FFFFFF"/>
            <w:noWrap/>
            <w:vAlign w:val="bottom"/>
            <w:hideMark/>
          </w:tcPr>
          <w:p w14:paraId="571666B4"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94" w:type="dxa"/>
            <w:tcBorders>
              <w:top w:val="nil"/>
              <w:left w:val="nil"/>
              <w:bottom w:val="nil"/>
              <w:right w:val="nil"/>
            </w:tcBorders>
            <w:shd w:val="clear" w:color="000000" w:fill="FFFFFF"/>
            <w:noWrap/>
            <w:vAlign w:val="bottom"/>
            <w:hideMark/>
          </w:tcPr>
          <w:p w14:paraId="116EEDE5"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r>
      <w:tr w:rsidR="00D47A5D" w:rsidRPr="00D47A5D" w14:paraId="0BD66F27" w14:textId="77777777" w:rsidTr="00D47A5D">
        <w:trPr>
          <w:trHeight w:val="288"/>
        </w:trPr>
        <w:tc>
          <w:tcPr>
            <w:tcW w:w="2440" w:type="dxa"/>
            <w:tcBorders>
              <w:top w:val="nil"/>
              <w:left w:val="nil"/>
              <w:bottom w:val="nil"/>
              <w:right w:val="nil"/>
            </w:tcBorders>
            <w:shd w:val="clear" w:color="000000" w:fill="FFFFFF"/>
            <w:noWrap/>
            <w:vAlign w:val="bottom"/>
            <w:hideMark/>
          </w:tcPr>
          <w:p w14:paraId="60ACDAB8"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Home Value</w:t>
            </w:r>
          </w:p>
        </w:tc>
        <w:tc>
          <w:tcPr>
            <w:tcW w:w="960" w:type="dxa"/>
            <w:tcBorders>
              <w:top w:val="nil"/>
              <w:left w:val="nil"/>
              <w:bottom w:val="nil"/>
              <w:right w:val="nil"/>
            </w:tcBorders>
            <w:shd w:val="clear" w:color="000000" w:fill="FFFFFF"/>
            <w:noWrap/>
            <w:vAlign w:val="center"/>
            <w:hideMark/>
          </w:tcPr>
          <w:p w14:paraId="624FAC0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$165,246</w:t>
            </w:r>
          </w:p>
        </w:tc>
        <w:tc>
          <w:tcPr>
            <w:tcW w:w="960" w:type="dxa"/>
            <w:tcBorders>
              <w:top w:val="nil"/>
              <w:left w:val="nil"/>
              <w:bottom w:val="nil"/>
              <w:right w:val="nil"/>
            </w:tcBorders>
            <w:shd w:val="clear" w:color="000000" w:fill="FFFFFF"/>
            <w:noWrap/>
            <w:vAlign w:val="center"/>
            <w:hideMark/>
          </w:tcPr>
          <w:p w14:paraId="25871A3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$268,000</w:t>
            </w:r>
          </w:p>
        </w:tc>
        <w:tc>
          <w:tcPr>
            <w:tcW w:w="340" w:type="dxa"/>
            <w:tcBorders>
              <w:top w:val="nil"/>
              <w:left w:val="nil"/>
              <w:bottom w:val="nil"/>
              <w:right w:val="nil"/>
            </w:tcBorders>
            <w:shd w:val="clear" w:color="000000" w:fill="FFFFFF"/>
            <w:noWrap/>
            <w:vAlign w:val="center"/>
            <w:hideMark/>
          </w:tcPr>
          <w:p w14:paraId="4B05F7D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3F00D11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+59%</w:t>
            </w:r>
          </w:p>
        </w:tc>
        <w:tc>
          <w:tcPr>
            <w:tcW w:w="859" w:type="dxa"/>
            <w:tcBorders>
              <w:top w:val="nil"/>
              <w:left w:val="nil"/>
              <w:bottom w:val="nil"/>
              <w:right w:val="nil"/>
            </w:tcBorders>
            <w:shd w:val="clear" w:color="000000" w:fill="FFFFFF"/>
            <w:noWrap/>
            <w:vAlign w:val="center"/>
            <w:hideMark/>
          </w:tcPr>
          <w:p w14:paraId="1D63044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w:t>
            </w:r>
          </w:p>
        </w:tc>
        <w:tc>
          <w:tcPr>
            <w:tcW w:w="1121" w:type="dxa"/>
            <w:tcBorders>
              <w:top w:val="nil"/>
              <w:left w:val="nil"/>
              <w:bottom w:val="nil"/>
              <w:right w:val="nil"/>
            </w:tcBorders>
            <w:shd w:val="clear" w:color="000000" w:fill="FFFFFF"/>
            <w:noWrap/>
            <w:vAlign w:val="center"/>
            <w:hideMark/>
          </w:tcPr>
          <w:p w14:paraId="7AA6E65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+55%</w:t>
            </w:r>
          </w:p>
        </w:tc>
        <w:tc>
          <w:tcPr>
            <w:tcW w:w="994" w:type="dxa"/>
            <w:tcBorders>
              <w:top w:val="nil"/>
              <w:left w:val="nil"/>
              <w:bottom w:val="nil"/>
              <w:right w:val="nil"/>
            </w:tcBorders>
            <w:shd w:val="clear" w:color="000000" w:fill="FFFFFF"/>
            <w:noWrap/>
            <w:vAlign w:val="center"/>
            <w:hideMark/>
          </w:tcPr>
          <w:p w14:paraId="6FE052D4"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+159%</w:t>
            </w:r>
          </w:p>
        </w:tc>
      </w:tr>
      <w:tr w:rsidR="00D47A5D" w:rsidRPr="00D47A5D" w14:paraId="65C3611F" w14:textId="77777777" w:rsidTr="00D47A5D">
        <w:trPr>
          <w:trHeight w:val="288"/>
        </w:trPr>
        <w:tc>
          <w:tcPr>
            <w:tcW w:w="2440" w:type="dxa"/>
            <w:tcBorders>
              <w:top w:val="nil"/>
              <w:left w:val="nil"/>
              <w:bottom w:val="nil"/>
              <w:right w:val="nil"/>
            </w:tcBorders>
            <w:shd w:val="clear" w:color="000000" w:fill="FFFFFF"/>
            <w:noWrap/>
            <w:vAlign w:val="bottom"/>
            <w:hideMark/>
          </w:tcPr>
          <w:p w14:paraId="3C72E071"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Rent Value</w:t>
            </w:r>
          </w:p>
        </w:tc>
        <w:tc>
          <w:tcPr>
            <w:tcW w:w="960" w:type="dxa"/>
            <w:tcBorders>
              <w:top w:val="nil"/>
              <w:left w:val="nil"/>
              <w:bottom w:val="nil"/>
              <w:right w:val="nil"/>
            </w:tcBorders>
            <w:shd w:val="clear" w:color="000000" w:fill="FFFFFF"/>
            <w:noWrap/>
            <w:vAlign w:val="center"/>
            <w:hideMark/>
          </w:tcPr>
          <w:p w14:paraId="1E192E8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$915</w:t>
            </w:r>
          </w:p>
        </w:tc>
        <w:tc>
          <w:tcPr>
            <w:tcW w:w="960" w:type="dxa"/>
            <w:tcBorders>
              <w:top w:val="nil"/>
              <w:left w:val="nil"/>
              <w:bottom w:val="nil"/>
              <w:right w:val="nil"/>
            </w:tcBorders>
            <w:shd w:val="clear" w:color="000000" w:fill="FFFFFF"/>
            <w:noWrap/>
            <w:vAlign w:val="center"/>
            <w:hideMark/>
          </w:tcPr>
          <w:p w14:paraId="471A1ACD"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$1,122</w:t>
            </w:r>
          </w:p>
        </w:tc>
        <w:tc>
          <w:tcPr>
            <w:tcW w:w="340" w:type="dxa"/>
            <w:tcBorders>
              <w:top w:val="nil"/>
              <w:left w:val="nil"/>
              <w:bottom w:val="nil"/>
              <w:right w:val="nil"/>
            </w:tcBorders>
            <w:shd w:val="clear" w:color="000000" w:fill="FFFFFF"/>
            <w:noWrap/>
            <w:vAlign w:val="center"/>
            <w:hideMark/>
          </w:tcPr>
          <w:p w14:paraId="4F8301B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6FE4A74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+30%</w:t>
            </w:r>
          </w:p>
        </w:tc>
        <w:tc>
          <w:tcPr>
            <w:tcW w:w="859" w:type="dxa"/>
            <w:tcBorders>
              <w:top w:val="nil"/>
              <w:left w:val="nil"/>
              <w:bottom w:val="nil"/>
              <w:right w:val="nil"/>
            </w:tcBorders>
            <w:shd w:val="clear" w:color="000000" w:fill="FFFFFF"/>
            <w:noWrap/>
            <w:vAlign w:val="center"/>
            <w:hideMark/>
          </w:tcPr>
          <w:p w14:paraId="31F18584" w14:textId="1BAF29AD"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-25%</w:t>
            </w:r>
          </w:p>
        </w:tc>
        <w:tc>
          <w:tcPr>
            <w:tcW w:w="1121" w:type="dxa"/>
            <w:tcBorders>
              <w:top w:val="nil"/>
              <w:left w:val="nil"/>
              <w:bottom w:val="nil"/>
              <w:right w:val="nil"/>
            </w:tcBorders>
            <w:shd w:val="clear" w:color="000000" w:fill="FFFFFF"/>
            <w:noWrap/>
            <w:vAlign w:val="center"/>
            <w:hideMark/>
          </w:tcPr>
          <w:p w14:paraId="199BDA3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+22%</w:t>
            </w:r>
          </w:p>
        </w:tc>
        <w:tc>
          <w:tcPr>
            <w:tcW w:w="994" w:type="dxa"/>
            <w:tcBorders>
              <w:top w:val="nil"/>
              <w:left w:val="nil"/>
              <w:bottom w:val="nil"/>
              <w:right w:val="nil"/>
            </w:tcBorders>
            <w:shd w:val="clear" w:color="000000" w:fill="FFFFFF"/>
            <w:noWrap/>
            <w:vAlign w:val="center"/>
            <w:hideMark/>
          </w:tcPr>
          <w:p w14:paraId="0B0F51D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+226%</w:t>
            </w:r>
          </w:p>
        </w:tc>
      </w:tr>
      <w:tr w:rsidR="00D47A5D" w:rsidRPr="00D47A5D" w14:paraId="3E211BA0" w14:textId="77777777" w:rsidTr="00D47A5D">
        <w:trPr>
          <w:trHeight w:val="288"/>
        </w:trPr>
        <w:tc>
          <w:tcPr>
            <w:tcW w:w="2440" w:type="dxa"/>
            <w:tcBorders>
              <w:top w:val="nil"/>
              <w:left w:val="nil"/>
              <w:bottom w:val="nil"/>
              <w:right w:val="nil"/>
            </w:tcBorders>
            <w:shd w:val="clear" w:color="000000" w:fill="FFFFFF"/>
            <w:noWrap/>
            <w:vAlign w:val="bottom"/>
            <w:hideMark/>
          </w:tcPr>
          <w:p w14:paraId="1371CF10"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lastRenderedPageBreak/>
              <w:t>Median Household Income</w:t>
            </w:r>
          </w:p>
        </w:tc>
        <w:tc>
          <w:tcPr>
            <w:tcW w:w="960" w:type="dxa"/>
            <w:tcBorders>
              <w:top w:val="nil"/>
              <w:left w:val="nil"/>
              <w:bottom w:val="nil"/>
              <w:right w:val="nil"/>
            </w:tcBorders>
            <w:shd w:val="clear" w:color="000000" w:fill="FFFFFF"/>
            <w:noWrap/>
            <w:vAlign w:val="center"/>
            <w:hideMark/>
          </w:tcPr>
          <w:p w14:paraId="1021426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$64,530</w:t>
            </w:r>
          </w:p>
        </w:tc>
        <w:tc>
          <w:tcPr>
            <w:tcW w:w="960" w:type="dxa"/>
            <w:tcBorders>
              <w:top w:val="nil"/>
              <w:left w:val="nil"/>
              <w:bottom w:val="nil"/>
              <w:right w:val="nil"/>
            </w:tcBorders>
            <w:shd w:val="clear" w:color="000000" w:fill="FFFFFF"/>
            <w:noWrap/>
            <w:vAlign w:val="center"/>
            <w:hideMark/>
          </w:tcPr>
          <w:p w14:paraId="66FD15A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$64,688</w:t>
            </w:r>
          </w:p>
        </w:tc>
        <w:tc>
          <w:tcPr>
            <w:tcW w:w="340" w:type="dxa"/>
            <w:tcBorders>
              <w:top w:val="nil"/>
              <w:left w:val="nil"/>
              <w:bottom w:val="nil"/>
              <w:right w:val="nil"/>
            </w:tcBorders>
            <w:shd w:val="clear" w:color="000000" w:fill="FFFFFF"/>
            <w:noWrap/>
            <w:vAlign w:val="center"/>
            <w:hideMark/>
          </w:tcPr>
          <w:p w14:paraId="16337B6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50122E4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+13%</w:t>
            </w:r>
          </w:p>
        </w:tc>
        <w:tc>
          <w:tcPr>
            <w:tcW w:w="859" w:type="dxa"/>
            <w:tcBorders>
              <w:top w:val="nil"/>
              <w:left w:val="nil"/>
              <w:bottom w:val="nil"/>
              <w:right w:val="nil"/>
            </w:tcBorders>
            <w:shd w:val="clear" w:color="000000" w:fill="FFFFFF"/>
            <w:noWrap/>
            <w:vAlign w:val="center"/>
            <w:hideMark/>
          </w:tcPr>
          <w:p w14:paraId="64865067" w14:textId="29DE8C5E"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-26%</w:t>
            </w:r>
          </w:p>
        </w:tc>
        <w:tc>
          <w:tcPr>
            <w:tcW w:w="1121" w:type="dxa"/>
            <w:tcBorders>
              <w:top w:val="nil"/>
              <w:left w:val="nil"/>
              <w:bottom w:val="nil"/>
              <w:right w:val="nil"/>
            </w:tcBorders>
            <w:shd w:val="clear" w:color="000000" w:fill="FFFFFF"/>
            <w:noWrap/>
            <w:vAlign w:val="center"/>
            <w:hideMark/>
          </w:tcPr>
          <w:p w14:paraId="0FC76DD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w:t>
            </w:r>
          </w:p>
        </w:tc>
        <w:tc>
          <w:tcPr>
            <w:tcW w:w="994" w:type="dxa"/>
            <w:tcBorders>
              <w:top w:val="nil"/>
              <w:left w:val="nil"/>
              <w:bottom w:val="nil"/>
              <w:right w:val="nil"/>
            </w:tcBorders>
            <w:shd w:val="clear" w:color="000000" w:fill="FFFFFF"/>
            <w:noWrap/>
            <w:vAlign w:val="center"/>
            <w:hideMark/>
          </w:tcPr>
          <w:p w14:paraId="70CE871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+86%</w:t>
            </w:r>
          </w:p>
        </w:tc>
      </w:tr>
      <w:tr w:rsidR="00D47A5D" w:rsidRPr="00D47A5D" w14:paraId="17CA6DEC" w14:textId="77777777" w:rsidTr="00D47A5D">
        <w:trPr>
          <w:trHeight w:val="288"/>
        </w:trPr>
        <w:tc>
          <w:tcPr>
            <w:tcW w:w="2440" w:type="dxa"/>
            <w:tcBorders>
              <w:top w:val="nil"/>
              <w:left w:val="nil"/>
              <w:bottom w:val="nil"/>
              <w:right w:val="nil"/>
            </w:tcBorders>
            <w:shd w:val="clear" w:color="000000" w:fill="FFFFFF"/>
            <w:noWrap/>
            <w:vAlign w:val="bottom"/>
            <w:hideMark/>
          </w:tcPr>
          <w:p w14:paraId="172DB1A7"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College Degree</w:t>
            </w:r>
          </w:p>
        </w:tc>
        <w:tc>
          <w:tcPr>
            <w:tcW w:w="960" w:type="dxa"/>
            <w:tcBorders>
              <w:top w:val="nil"/>
              <w:left w:val="nil"/>
              <w:bottom w:val="nil"/>
              <w:right w:val="nil"/>
            </w:tcBorders>
            <w:shd w:val="clear" w:color="000000" w:fill="FFFFFF"/>
            <w:noWrap/>
            <w:vAlign w:val="center"/>
            <w:hideMark/>
          </w:tcPr>
          <w:p w14:paraId="4F05160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26%</w:t>
            </w:r>
          </w:p>
        </w:tc>
        <w:tc>
          <w:tcPr>
            <w:tcW w:w="960" w:type="dxa"/>
            <w:tcBorders>
              <w:top w:val="nil"/>
              <w:left w:val="nil"/>
              <w:bottom w:val="nil"/>
              <w:right w:val="nil"/>
            </w:tcBorders>
            <w:shd w:val="clear" w:color="000000" w:fill="FFFFFF"/>
            <w:noWrap/>
            <w:vAlign w:val="center"/>
            <w:hideMark/>
          </w:tcPr>
          <w:p w14:paraId="112BEE6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45%</w:t>
            </w:r>
          </w:p>
        </w:tc>
        <w:tc>
          <w:tcPr>
            <w:tcW w:w="340" w:type="dxa"/>
            <w:tcBorders>
              <w:top w:val="nil"/>
              <w:left w:val="nil"/>
              <w:bottom w:val="nil"/>
              <w:right w:val="nil"/>
            </w:tcBorders>
            <w:shd w:val="clear" w:color="000000" w:fill="FFFFFF"/>
            <w:noWrap/>
            <w:vAlign w:val="center"/>
            <w:hideMark/>
          </w:tcPr>
          <w:p w14:paraId="5D64CA2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7EAC9FA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+13%</w:t>
            </w:r>
          </w:p>
        </w:tc>
        <w:tc>
          <w:tcPr>
            <w:tcW w:w="859" w:type="dxa"/>
            <w:tcBorders>
              <w:top w:val="nil"/>
              <w:left w:val="nil"/>
              <w:bottom w:val="nil"/>
              <w:right w:val="nil"/>
            </w:tcBorders>
            <w:shd w:val="clear" w:color="000000" w:fill="FFFFFF"/>
            <w:noWrap/>
            <w:vAlign w:val="center"/>
            <w:hideMark/>
          </w:tcPr>
          <w:p w14:paraId="3F767156" w14:textId="59BBC6AB"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w:t>
            </w:r>
          </w:p>
        </w:tc>
        <w:tc>
          <w:tcPr>
            <w:tcW w:w="1121" w:type="dxa"/>
            <w:tcBorders>
              <w:top w:val="nil"/>
              <w:left w:val="nil"/>
              <w:bottom w:val="nil"/>
              <w:right w:val="nil"/>
            </w:tcBorders>
            <w:shd w:val="clear" w:color="000000" w:fill="FFFFFF"/>
            <w:noWrap/>
            <w:vAlign w:val="center"/>
            <w:hideMark/>
          </w:tcPr>
          <w:p w14:paraId="3DE6C0C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+12%</w:t>
            </w:r>
          </w:p>
        </w:tc>
        <w:tc>
          <w:tcPr>
            <w:tcW w:w="994" w:type="dxa"/>
            <w:tcBorders>
              <w:top w:val="nil"/>
              <w:left w:val="nil"/>
              <w:bottom w:val="nil"/>
              <w:right w:val="nil"/>
            </w:tcBorders>
            <w:shd w:val="clear" w:color="000000" w:fill="FFFFFF"/>
            <w:noWrap/>
            <w:vAlign w:val="center"/>
            <w:hideMark/>
          </w:tcPr>
          <w:p w14:paraId="587EE95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+33%</w:t>
            </w:r>
          </w:p>
        </w:tc>
      </w:tr>
      <w:tr w:rsidR="00D47A5D" w:rsidRPr="00D47A5D" w14:paraId="0B7BE41F" w14:textId="77777777" w:rsidTr="00D47A5D">
        <w:trPr>
          <w:trHeight w:val="288"/>
        </w:trPr>
        <w:tc>
          <w:tcPr>
            <w:tcW w:w="2440" w:type="dxa"/>
            <w:tcBorders>
              <w:top w:val="nil"/>
              <w:left w:val="nil"/>
              <w:bottom w:val="nil"/>
              <w:right w:val="nil"/>
            </w:tcBorders>
            <w:shd w:val="clear" w:color="000000" w:fill="FFFFFF"/>
            <w:noWrap/>
            <w:vAlign w:val="bottom"/>
            <w:hideMark/>
          </w:tcPr>
          <w:p w14:paraId="4BE7BCDE"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Multi-Unit Housing</w:t>
            </w:r>
          </w:p>
        </w:tc>
        <w:tc>
          <w:tcPr>
            <w:tcW w:w="960" w:type="dxa"/>
            <w:tcBorders>
              <w:top w:val="nil"/>
              <w:left w:val="nil"/>
              <w:bottom w:val="nil"/>
              <w:right w:val="nil"/>
            </w:tcBorders>
            <w:shd w:val="clear" w:color="000000" w:fill="FFFFFF"/>
            <w:noWrap/>
            <w:vAlign w:val="center"/>
            <w:hideMark/>
          </w:tcPr>
          <w:p w14:paraId="14456B1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28%</w:t>
            </w:r>
          </w:p>
        </w:tc>
        <w:tc>
          <w:tcPr>
            <w:tcW w:w="960" w:type="dxa"/>
            <w:tcBorders>
              <w:top w:val="nil"/>
              <w:left w:val="nil"/>
              <w:bottom w:val="nil"/>
              <w:right w:val="nil"/>
            </w:tcBorders>
            <w:shd w:val="clear" w:color="000000" w:fill="FFFFFF"/>
            <w:noWrap/>
            <w:vAlign w:val="center"/>
            <w:hideMark/>
          </w:tcPr>
          <w:p w14:paraId="462A0E0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25%</w:t>
            </w:r>
          </w:p>
        </w:tc>
        <w:tc>
          <w:tcPr>
            <w:tcW w:w="340" w:type="dxa"/>
            <w:tcBorders>
              <w:top w:val="nil"/>
              <w:left w:val="nil"/>
              <w:bottom w:val="nil"/>
              <w:right w:val="nil"/>
            </w:tcBorders>
            <w:shd w:val="clear" w:color="000000" w:fill="FFFFFF"/>
            <w:noWrap/>
            <w:vAlign w:val="center"/>
            <w:hideMark/>
          </w:tcPr>
          <w:p w14:paraId="5669C12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322379AA" w14:textId="28A1EBBE"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w:t>
            </w:r>
          </w:p>
        </w:tc>
        <w:tc>
          <w:tcPr>
            <w:tcW w:w="859" w:type="dxa"/>
            <w:tcBorders>
              <w:top w:val="nil"/>
              <w:left w:val="nil"/>
              <w:bottom w:val="nil"/>
              <w:right w:val="nil"/>
            </w:tcBorders>
            <w:shd w:val="clear" w:color="000000" w:fill="FFFFFF"/>
            <w:noWrap/>
            <w:vAlign w:val="center"/>
            <w:hideMark/>
          </w:tcPr>
          <w:p w14:paraId="15FF44B4" w14:textId="13C163C4"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-24%</w:t>
            </w:r>
          </w:p>
        </w:tc>
        <w:tc>
          <w:tcPr>
            <w:tcW w:w="1121" w:type="dxa"/>
            <w:tcBorders>
              <w:top w:val="nil"/>
              <w:left w:val="nil"/>
              <w:bottom w:val="nil"/>
              <w:right w:val="nil"/>
            </w:tcBorders>
            <w:shd w:val="clear" w:color="000000" w:fill="FFFFFF"/>
            <w:noWrap/>
            <w:vAlign w:val="center"/>
            <w:hideMark/>
          </w:tcPr>
          <w:p w14:paraId="7CFB6DFA" w14:textId="6192A125"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w:t>
            </w:r>
          </w:p>
        </w:tc>
        <w:tc>
          <w:tcPr>
            <w:tcW w:w="994" w:type="dxa"/>
            <w:tcBorders>
              <w:top w:val="nil"/>
              <w:left w:val="nil"/>
              <w:bottom w:val="nil"/>
              <w:right w:val="nil"/>
            </w:tcBorders>
            <w:shd w:val="clear" w:color="000000" w:fill="FFFFFF"/>
            <w:noWrap/>
            <w:vAlign w:val="center"/>
            <w:hideMark/>
          </w:tcPr>
          <w:p w14:paraId="54B6FFB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+16%</w:t>
            </w:r>
          </w:p>
        </w:tc>
      </w:tr>
      <w:tr w:rsidR="00D47A5D" w:rsidRPr="00D47A5D" w14:paraId="6FA0906F" w14:textId="77777777" w:rsidTr="00D47A5D">
        <w:trPr>
          <w:trHeight w:val="288"/>
        </w:trPr>
        <w:tc>
          <w:tcPr>
            <w:tcW w:w="2440" w:type="dxa"/>
            <w:tcBorders>
              <w:top w:val="nil"/>
              <w:left w:val="nil"/>
              <w:bottom w:val="single" w:sz="4" w:space="0" w:color="auto"/>
              <w:right w:val="nil"/>
            </w:tcBorders>
            <w:shd w:val="clear" w:color="000000" w:fill="FFFFFF"/>
            <w:noWrap/>
            <w:vAlign w:val="bottom"/>
            <w:hideMark/>
          </w:tcPr>
          <w:p w14:paraId="2AEB434B"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White</w:t>
            </w:r>
          </w:p>
        </w:tc>
        <w:tc>
          <w:tcPr>
            <w:tcW w:w="960" w:type="dxa"/>
            <w:tcBorders>
              <w:top w:val="nil"/>
              <w:left w:val="nil"/>
              <w:bottom w:val="single" w:sz="4" w:space="0" w:color="auto"/>
              <w:right w:val="nil"/>
            </w:tcBorders>
            <w:shd w:val="clear" w:color="000000" w:fill="FFFFFF"/>
            <w:noWrap/>
            <w:vAlign w:val="center"/>
            <w:hideMark/>
          </w:tcPr>
          <w:p w14:paraId="1E81596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84%</w:t>
            </w:r>
          </w:p>
        </w:tc>
        <w:tc>
          <w:tcPr>
            <w:tcW w:w="960" w:type="dxa"/>
            <w:tcBorders>
              <w:top w:val="nil"/>
              <w:left w:val="nil"/>
              <w:bottom w:val="single" w:sz="4" w:space="0" w:color="auto"/>
              <w:right w:val="nil"/>
            </w:tcBorders>
            <w:shd w:val="clear" w:color="000000" w:fill="FFFFFF"/>
            <w:noWrap/>
            <w:vAlign w:val="center"/>
            <w:hideMark/>
          </w:tcPr>
          <w:p w14:paraId="634FB75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81%</w:t>
            </w:r>
          </w:p>
        </w:tc>
        <w:tc>
          <w:tcPr>
            <w:tcW w:w="340" w:type="dxa"/>
            <w:tcBorders>
              <w:top w:val="nil"/>
              <w:left w:val="nil"/>
              <w:bottom w:val="single" w:sz="4" w:space="0" w:color="auto"/>
              <w:right w:val="nil"/>
            </w:tcBorders>
            <w:shd w:val="clear" w:color="000000" w:fill="FFFFFF"/>
            <w:noWrap/>
            <w:vAlign w:val="center"/>
            <w:hideMark/>
          </w:tcPr>
          <w:p w14:paraId="043A1054"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single" w:sz="4" w:space="0" w:color="auto"/>
              <w:right w:val="nil"/>
            </w:tcBorders>
            <w:shd w:val="clear" w:color="000000" w:fill="FFFFFF"/>
            <w:noWrap/>
            <w:vAlign w:val="center"/>
            <w:hideMark/>
          </w:tcPr>
          <w:p w14:paraId="42911A1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+0%</w:t>
            </w:r>
          </w:p>
        </w:tc>
        <w:tc>
          <w:tcPr>
            <w:tcW w:w="859" w:type="dxa"/>
            <w:tcBorders>
              <w:top w:val="nil"/>
              <w:left w:val="nil"/>
              <w:bottom w:val="single" w:sz="4" w:space="0" w:color="auto"/>
              <w:right w:val="nil"/>
            </w:tcBorders>
            <w:shd w:val="clear" w:color="000000" w:fill="FFFFFF"/>
            <w:noWrap/>
            <w:vAlign w:val="center"/>
            <w:hideMark/>
          </w:tcPr>
          <w:p w14:paraId="53A1D6D1" w14:textId="7D1D214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-14%</w:t>
            </w:r>
          </w:p>
        </w:tc>
        <w:tc>
          <w:tcPr>
            <w:tcW w:w="1121" w:type="dxa"/>
            <w:tcBorders>
              <w:top w:val="nil"/>
              <w:left w:val="nil"/>
              <w:bottom w:val="single" w:sz="4" w:space="0" w:color="auto"/>
              <w:right w:val="nil"/>
            </w:tcBorders>
            <w:shd w:val="clear" w:color="000000" w:fill="FFFFFF"/>
            <w:noWrap/>
            <w:vAlign w:val="center"/>
            <w:hideMark/>
          </w:tcPr>
          <w:p w14:paraId="02BAE533" w14:textId="513CE820"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w:t>
            </w:r>
          </w:p>
        </w:tc>
        <w:tc>
          <w:tcPr>
            <w:tcW w:w="994" w:type="dxa"/>
            <w:tcBorders>
              <w:top w:val="nil"/>
              <w:left w:val="nil"/>
              <w:bottom w:val="single" w:sz="4" w:space="0" w:color="auto"/>
              <w:right w:val="nil"/>
            </w:tcBorders>
            <w:shd w:val="clear" w:color="000000" w:fill="FFFFFF"/>
            <w:noWrap/>
            <w:vAlign w:val="center"/>
            <w:hideMark/>
          </w:tcPr>
          <w:p w14:paraId="56F77DC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+25%</w:t>
            </w:r>
          </w:p>
        </w:tc>
      </w:tr>
    </w:tbl>
    <w:p w14:paraId="77A3B7D9" w14:textId="77777777" w:rsidR="00791F31" w:rsidRDefault="00791F31" w:rsidP="004028E2">
      <w:pPr>
        <w:autoSpaceDE w:val="0"/>
        <w:autoSpaceDN w:val="0"/>
        <w:adjustRightInd w:val="0"/>
        <w:spacing w:after="0" w:line="240" w:lineRule="auto"/>
        <w:ind w:firstLine="720"/>
        <w:rPr>
          <w:rFonts w:ascii="Calibri" w:hAnsi="Calibri" w:cs="Calibri"/>
          <w:color w:val="000000"/>
        </w:rPr>
      </w:pPr>
    </w:p>
    <w:p w14:paraId="1F8B3E3A" w14:textId="77777777" w:rsidR="004B2D71" w:rsidRPr="00BE37B5" w:rsidRDefault="004B2D71" w:rsidP="004028E2">
      <w:pPr>
        <w:autoSpaceDE w:val="0"/>
        <w:autoSpaceDN w:val="0"/>
        <w:adjustRightInd w:val="0"/>
        <w:spacing w:after="0" w:line="240" w:lineRule="auto"/>
        <w:ind w:firstLine="720"/>
        <w:rPr>
          <w:rFonts w:cstheme="minorHAnsi"/>
        </w:rPr>
      </w:pPr>
    </w:p>
    <w:p w14:paraId="4B97EA80" w14:textId="41044548" w:rsidR="004B2D71" w:rsidRDefault="00044A7B" w:rsidP="005863DF">
      <w:pPr>
        <w:ind w:firstLine="720"/>
        <w:rPr>
          <w:rFonts w:ascii="Calibri" w:hAnsi="Calibri" w:cs="Calibri"/>
          <w:color w:val="000000"/>
        </w:rPr>
      </w:pPr>
      <w:r>
        <w:rPr>
          <w:rFonts w:ascii="Calibri" w:hAnsi="Calibri" w:cs="Calibri"/>
          <w:color w:val="000000"/>
        </w:rPr>
        <w:t xml:space="preserve">Cluster </w:t>
      </w:r>
      <w:r w:rsidR="004B2D71">
        <w:rPr>
          <w:rFonts w:ascii="Calibri" w:hAnsi="Calibri" w:cs="Calibri"/>
          <w:color w:val="000000"/>
        </w:rPr>
        <w:t>2</w:t>
      </w:r>
      <w:r w:rsidR="004B2D71" w:rsidRPr="00EC787E">
        <w:rPr>
          <w:rFonts w:ascii="Calibri" w:hAnsi="Calibri" w:cs="Calibri"/>
          <w:color w:val="000000"/>
        </w:rPr>
        <w:t xml:space="preserve"> exhibits distinguishable </w:t>
      </w:r>
      <w:r w:rsidR="008150F2">
        <w:rPr>
          <w:rFonts w:ascii="Calibri" w:hAnsi="Calibri" w:cs="Calibri"/>
          <w:color w:val="000000"/>
        </w:rPr>
        <w:t>patterns</w:t>
      </w:r>
      <w:r w:rsidR="004B2D71" w:rsidRPr="00EC787E">
        <w:rPr>
          <w:rFonts w:ascii="Calibri" w:hAnsi="Calibri" w:cs="Calibri"/>
          <w:color w:val="000000"/>
        </w:rPr>
        <w:t xml:space="preserve"> of </w:t>
      </w:r>
      <w:r w:rsidR="00A145E7">
        <w:rPr>
          <w:rFonts w:ascii="Calibri" w:hAnsi="Calibri" w:cs="Calibri"/>
          <w:color w:val="000000"/>
        </w:rPr>
        <w:t xml:space="preserve">late-stage </w:t>
      </w:r>
      <w:r w:rsidR="004B2D71" w:rsidRPr="00EC787E">
        <w:rPr>
          <w:rFonts w:ascii="Calibri" w:hAnsi="Calibri" w:cs="Calibri"/>
          <w:color w:val="000000"/>
        </w:rPr>
        <w:t>gentrification and</w:t>
      </w:r>
      <w:r w:rsidR="00E5666A">
        <w:rPr>
          <w:rFonts w:ascii="Calibri" w:hAnsi="Calibri" w:cs="Calibri"/>
          <w:color w:val="000000"/>
        </w:rPr>
        <w:t xml:space="preserve"> </w:t>
      </w:r>
      <w:r w:rsidR="008150F2">
        <w:rPr>
          <w:rFonts w:ascii="Calibri" w:hAnsi="Calibri" w:cs="Calibri"/>
          <w:color w:val="000000"/>
        </w:rPr>
        <w:t xml:space="preserve">signals of </w:t>
      </w:r>
      <w:r w:rsidR="008E4DE7">
        <w:rPr>
          <w:rFonts w:ascii="Calibri" w:hAnsi="Calibri" w:cs="Calibri"/>
          <w:color w:val="000000"/>
        </w:rPr>
        <w:t xml:space="preserve">residential </w:t>
      </w:r>
      <w:r w:rsidR="004B2D71" w:rsidRPr="00EC787E">
        <w:rPr>
          <w:rFonts w:ascii="Calibri" w:hAnsi="Calibri" w:cs="Calibri"/>
          <w:color w:val="000000"/>
        </w:rPr>
        <w:t>displacement</w:t>
      </w:r>
      <w:r w:rsidR="008150F2">
        <w:rPr>
          <w:rFonts w:ascii="Calibri" w:hAnsi="Calibri" w:cs="Calibri"/>
          <w:color w:val="000000"/>
        </w:rPr>
        <w:t xml:space="preserve"> captured by socioeconomic and race variables</w:t>
      </w:r>
      <w:r w:rsidR="004B2D71" w:rsidRPr="00EC787E">
        <w:rPr>
          <w:rFonts w:ascii="Calibri" w:hAnsi="Calibri" w:cs="Calibri"/>
          <w:color w:val="000000"/>
        </w:rPr>
        <w:t xml:space="preserve">. This typology is </w:t>
      </w:r>
      <w:r w:rsidR="00FC5C4C">
        <w:rPr>
          <w:rFonts w:ascii="Calibri" w:hAnsi="Calibri" w:cs="Calibri"/>
          <w:color w:val="000000"/>
        </w:rPr>
        <w:t>composed</w:t>
      </w:r>
      <w:r w:rsidR="004B2D71" w:rsidRPr="00EC787E">
        <w:rPr>
          <w:rFonts w:ascii="Calibri" w:hAnsi="Calibri" w:cs="Calibri"/>
          <w:color w:val="000000"/>
        </w:rPr>
        <w:t xml:space="preserve"> of </w:t>
      </w:r>
      <w:r w:rsidR="006B17A3">
        <w:rPr>
          <w:rFonts w:ascii="Calibri" w:hAnsi="Calibri" w:cs="Calibri"/>
          <w:color w:val="000000"/>
        </w:rPr>
        <w:t>17</w:t>
      </w:r>
      <w:r w:rsidR="004B2D71" w:rsidRPr="00EC787E">
        <w:rPr>
          <w:rFonts w:ascii="Calibri" w:hAnsi="Calibri" w:cs="Calibri"/>
          <w:color w:val="000000"/>
        </w:rPr>
        <w:t xml:space="preserve"> </w:t>
      </w:r>
      <w:r w:rsidR="004B2D71">
        <w:rPr>
          <w:rFonts w:ascii="Calibri" w:hAnsi="Calibri" w:cs="Calibri"/>
          <w:color w:val="000000"/>
        </w:rPr>
        <w:t>C</w:t>
      </w:r>
      <w:r w:rsidR="004B2D71" w:rsidRPr="00EC787E">
        <w:rPr>
          <w:rFonts w:ascii="Calibri" w:hAnsi="Calibri" w:cs="Calibri"/>
          <w:color w:val="000000"/>
        </w:rPr>
        <w:t>ensus tracts</w:t>
      </w:r>
      <w:r w:rsidR="00FC5C4C">
        <w:rPr>
          <w:rFonts w:ascii="Calibri" w:hAnsi="Calibri" w:cs="Calibri"/>
          <w:color w:val="000000"/>
        </w:rPr>
        <w:t>, all</w:t>
      </w:r>
      <w:r w:rsidR="004B2D71" w:rsidRPr="00EC787E">
        <w:rPr>
          <w:rFonts w:ascii="Calibri" w:hAnsi="Calibri" w:cs="Calibri"/>
          <w:color w:val="000000"/>
        </w:rPr>
        <w:t xml:space="preserve"> spatially clustered </w:t>
      </w:r>
      <w:r w:rsidR="00FC5C4C">
        <w:rPr>
          <w:rFonts w:ascii="Calibri" w:hAnsi="Calibri" w:cs="Calibri"/>
          <w:color w:val="000000"/>
        </w:rPr>
        <w:t>from</w:t>
      </w:r>
      <w:r w:rsidR="004B2D71" w:rsidRPr="00EC787E">
        <w:rPr>
          <w:rFonts w:ascii="Calibri" w:hAnsi="Calibri" w:cs="Calibri"/>
          <w:color w:val="000000"/>
        </w:rPr>
        <w:t xml:space="preserve"> downtown Nashville</w:t>
      </w:r>
      <w:r w:rsidR="008150F2">
        <w:rPr>
          <w:rFonts w:ascii="Calibri" w:hAnsi="Calibri" w:cs="Calibri"/>
          <w:color w:val="000000"/>
        </w:rPr>
        <w:t>.</w:t>
      </w:r>
      <w:r w:rsidR="004B2D71" w:rsidRPr="00EC787E">
        <w:rPr>
          <w:rFonts w:ascii="Calibri" w:hAnsi="Calibri" w:cs="Calibri"/>
          <w:color w:val="000000"/>
        </w:rPr>
        <w:t xml:space="preserve"> It is differentiated by the</w:t>
      </w:r>
      <w:r w:rsidR="00E5666A">
        <w:rPr>
          <w:rFonts w:ascii="Calibri" w:hAnsi="Calibri" w:cs="Calibri"/>
          <w:color w:val="000000"/>
        </w:rPr>
        <w:t xml:space="preserve"> second-</w:t>
      </w:r>
      <w:r w:rsidR="004B2D71" w:rsidRPr="00EC787E">
        <w:rPr>
          <w:rFonts w:ascii="Calibri" w:hAnsi="Calibri" w:cs="Calibri"/>
          <w:color w:val="000000"/>
        </w:rPr>
        <w:t>large</w:t>
      </w:r>
      <w:r w:rsidR="004B2D71">
        <w:rPr>
          <w:rFonts w:ascii="Calibri" w:hAnsi="Calibri" w:cs="Calibri"/>
          <w:color w:val="000000"/>
        </w:rPr>
        <w:t xml:space="preserve">st </w:t>
      </w:r>
      <w:r w:rsidR="00E5666A">
        <w:rPr>
          <w:rFonts w:ascii="Calibri" w:hAnsi="Calibri" w:cs="Calibri"/>
          <w:color w:val="000000"/>
        </w:rPr>
        <w:t xml:space="preserve">average </w:t>
      </w:r>
      <w:r w:rsidR="004B2D71">
        <w:rPr>
          <w:rFonts w:ascii="Calibri" w:hAnsi="Calibri" w:cs="Calibri"/>
          <w:color w:val="000000"/>
        </w:rPr>
        <w:t>increase</w:t>
      </w:r>
      <w:r w:rsidR="00E5666A">
        <w:rPr>
          <w:rFonts w:ascii="Calibri" w:hAnsi="Calibri" w:cs="Calibri"/>
          <w:color w:val="000000"/>
        </w:rPr>
        <w:t>s</w:t>
      </w:r>
      <w:r w:rsidR="004B2D71">
        <w:rPr>
          <w:rFonts w:ascii="Calibri" w:hAnsi="Calibri" w:cs="Calibri"/>
          <w:color w:val="000000"/>
        </w:rPr>
        <w:t xml:space="preserve"> in home value (+1</w:t>
      </w:r>
      <w:r w:rsidR="006B17A3">
        <w:rPr>
          <w:rFonts w:ascii="Calibri" w:hAnsi="Calibri" w:cs="Calibri"/>
          <w:color w:val="000000"/>
        </w:rPr>
        <w:t>94</w:t>
      </w:r>
      <w:r w:rsidR="004B2D71">
        <w:rPr>
          <w:rFonts w:ascii="Calibri" w:hAnsi="Calibri" w:cs="Calibri"/>
          <w:color w:val="000000"/>
        </w:rPr>
        <w:t>%</w:t>
      </w:r>
      <w:r w:rsidR="004B2D71" w:rsidRPr="00EC787E">
        <w:rPr>
          <w:rFonts w:ascii="Calibri" w:hAnsi="Calibri" w:cs="Calibri"/>
          <w:color w:val="000000"/>
        </w:rPr>
        <w:t xml:space="preserve">), </w:t>
      </w:r>
      <w:r w:rsidR="00A145E7">
        <w:rPr>
          <w:rFonts w:ascii="Calibri" w:hAnsi="Calibri" w:cs="Calibri"/>
          <w:color w:val="000000"/>
        </w:rPr>
        <w:t>college</w:t>
      </w:r>
      <w:r w:rsidR="004B2D71">
        <w:rPr>
          <w:rFonts w:ascii="Calibri" w:hAnsi="Calibri" w:cs="Calibri"/>
          <w:color w:val="000000"/>
        </w:rPr>
        <w:t xml:space="preserve"> (+</w:t>
      </w:r>
      <w:r w:rsidR="00E5666A">
        <w:rPr>
          <w:rFonts w:ascii="Calibri" w:hAnsi="Calibri" w:cs="Calibri"/>
          <w:color w:val="000000"/>
        </w:rPr>
        <w:t>3</w:t>
      </w:r>
      <w:r w:rsidR="006B17A3">
        <w:rPr>
          <w:rFonts w:ascii="Calibri" w:hAnsi="Calibri" w:cs="Calibri"/>
          <w:color w:val="000000"/>
        </w:rPr>
        <w:t>5</w:t>
      </w:r>
      <w:r w:rsidR="004B2D71">
        <w:rPr>
          <w:rFonts w:ascii="Calibri" w:hAnsi="Calibri" w:cs="Calibri"/>
          <w:color w:val="000000"/>
        </w:rPr>
        <w:t>%), income (+</w:t>
      </w:r>
      <w:r w:rsidR="006B17A3">
        <w:rPr>
          <w:rFonts w:ascii="Calibri" w:hAnsi="Calibri" w:cs="Calibri"/>
          <w:color w:val="000000"/>
        </w:rPr>
        <w:t>6</w:t>
      </w:r>
      <w:r w:rsidR="00E5666A">
        <w:rPr>
          <w:rFonts w:ascii="Calibri" w:hAnsi="Calibri" w:cs="Calibri"/>
          <w:color w:val="000000"/>
        </w:rPr>
        <w:t>3</w:t>
      </w:r>
      <w:r w:rsidR="004B2D71">
        <w:rPr>
          <w:rFonts w:ascii="Calibri" w:hAnsi="Calibri" w:cs="Calibri"/>
          <w:color w:val="000000"/>
        </w:rPr>
        <w:t>%</w:t>
      </w:r>
      <w:r w:rsidR="004B2D71" w:rsidRPr="00EC787E">
        <w:rPr>
          <w:rFonts w:ascii="Calibri" w:hAnsi="Calibri" w:cs="Calibri"/>
          <w:color w:val="000000"/>
        </w:rPr>
        <w:t>)</w:t>
      </w:r>
      <w:r w:rsidR="00E5666A">
        <w:rPr>
          <w:rFonts w:ascii="Calibri" w:hAnsi="Calibri" w:cs="Calibri"/>
          <w:color w:val="000000"/>
        </w:rPr>
        <w:t>, and white proportions (+</w:t>
      </w:r>
      <w:r w:rsidR="006B17A3">
        <w:rPr>
          <w:rFonts w:ascii="Calibri" w:hAnsi="Calibri" w:cs="Calibri"/>
          <w:color w:val="000000"/>
        </w:rPr>
        <w:t>2</w:t>
      </w:r>
      <w:r w:rsidR="00E5666A">
        <w:rPr>
          <w:rFonts w:ascii="Calibri" w:hAnsi="Calibri" w:cs="Calibri"/>
          <w:color w:val="000000"/>
        </w:rPr>
        <w:t>7%)</w:t>
      </w:r>
      <w:r w:rsidR="004B2D71" w:rsidRPr="00EC787E">
        <w:rPr>
          <w:rFonts w:ascii="Calibri" w:hAnsi="Calibri" w:cs="Calibri"/>
          <w:color w:val="000000"/>
        </w:rPr>
        <w:t xml:space="preserve"> across all tracts. </w:t>
      </w:r>
    </w:p>
    <w:p w14:paraId="184910B6" w14:textId="40BEF9F2" w:rsidR="00044A7B" w:rsidRPr="009E185D" w:rsidRDefault="00044A7B" w:rsidP="00044A7B">
      <w:pPr>
        <w:pStyle w:val="Caption"/>
        <w:keepNext/>
        <w:jc w:val="center"/>
        <w:rPr>
          <w:sz w:val="20"/>
          <w:szCs w:val="20"/>
        </w:rPr>
      </w:pPr>
      <w:r w:rsidRPr="009E185D">
        <w:rPr>
          <w:sz w:val="20"/>
          <w:szCs w:val="20"/>
        </w:rPr>
        <w:t xml:space="preserve">Table </w:t>
      </w:r>
      <w:r w:rsidR="008E7477" w:rsidRPr="009E185D">
        <w:rPr>
          <w:sz w:val="20"/>
          <w:szCs w:val="20"/>
        </w:rPr>
        <w:fldChar w:fldCharType="begin"/>
      </w:r>
      <w:r w:rsidR="008E7477" w:rsidRPr="009E185D">
        <w:rPr>
          <w:sz w:val="20"/>
          <w:szCs w:val="20"/>
        </w:rPr>
        <w:instrText xml:space="preserve"> SEQ Table \* ARABIC </w:instrText>
      </w:r>
      <w:r w:rsidR="008E7477" w:rsidRPr="009E185D">
        <w:rPr>
          <w:sz w:val="20"/>
          <w:szCs w:val="20"/>
        </w:rPr>
        <w:fldChar w:fldCharType="separate"/>
      </w:r>
      <w:r w:rsidRPr="009E185D">
        <w:rPr>
          <w:noProof/>
          <w:sz w:val="20"/>
          <w:szCs w:val="20"/>
        </w:rPr>
        <w:t>5</w:t>
      </w:r>
      <w:r w:rsidR="008E7477" w:rsidRPr="009E185D">
        <w:rPr>
          <w:noProof/>
          <w:sz w:val="20"/>
          <w:szCs w:val="20"/>
        </w:rPr>
        <w:fldChar w:fldCharType="end"/>
      </w:r>
      <w:r w:rsidRPr="009E185D">
        <w:rPr>
          <w:sz w:val="20"/>
          <w:szCs w:val="20"/>
        </w:rPr>
        <w:t>. Cluster 2 summary statistics</w:t>
      </w:r>
    </w:p>
    <w:tbl>
      <w:tblPr>
        <w:tblW w:w="8541" w:type="dxa"/>
        <w:tblLook w:val="04A0" w:firstRow="1" w:lastRow="0" w:firstColumn="1" w:lastColumn="0" w:noHBand="0" w:noVBand="1"/>
      </w:tblPr>
      <w:tblGrid>
        <w:gridCol w:w="2440"/>
        <w:gridCol w:w="976"/>
        <w:gridCol w:w="976"/>
        <w:gridCol w:w="340"/>
        <w:gridCol w:w="962"/>
        <w:gridCol w:w="832"/>
        <w:gridCol w:w="1085"/>
        <w:gridCol w:w="962"/>
      </w:tblGrid>
      <w:tr w:rsidR="00D47A5D" w:rsidRPr="00D47A5D" w14:paraId="0B2DC157" w14:textId="77777777" w:rsidTr="00D47A5D">
        <w:trPr>
          <w:trHeight w:val="288"/>
        </w:trPr>
        <w:tc>
          <w:tcPr>
            <w:tcW w:w="2440" w:type="dxa"/>
            <w:vMerge w:val="restart"/>
            <w:tcBorders>
              <w:top w:val="single" w:sz="4" w:space="0" w:color="auto"/>
              <w:left w:val="nil"/>
              <w:bottom w:val="single" w:sz="4" w:space="0" w:color="000000"/>
              <w:right w:val="nil"/>
            </w:tcBorders>
            <w:shd w:val="clear" w:color="000000" w:fill="FFFFFF"/>
            <w:noWrap/>
            <w:vAlign w:val="center"/>
            <w:hideMark/>
          </w:tcPr>
          <w:p w14:paraId="21F05662"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Cluster 2 (n=17)</w:t>
            </w:r>
          </w:p>
        </w:tc>
        <w:tc>
          <w:tcPr>
            <w:tcW w:w="960" w:type="dxa"/>
            <w:tcBorders>
              <w:top w:val="single" w:sz="4" w:space="0" w:color="auto"/>
              <w:left w:val="nil"/>
              <w:bottom w:val="nil"/>
              <w:right w:val="nil"/>
            </w:tcBorders>
            <w:shd w:val="clear" w:color="000000" w:fill="FFFFFF"/>
            <w:noWrap/>
            <w:vAlign w:val="center"/>
            <w:hideMark/>
          </w:tcPr>
          <w:p w14:paraId="1C2EC2A6"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2000</w:t>
            </w:r>
          </w:p>
        </w:tc>
        <w:tc>
          <w:tcPr>
            <w:tcW w:w="960" w:type="dxa"/>
            <w:tcBorders>
              <w:top w:val="single" w:sz="4" w:space="0" w:color="auto"/>
              <w:left w:val="nil"/>
              <w:bottom w:val="nil"/>
              <w:right w:val="nil"/>
            </w:tcBorders>
            <w:shd w:val="clear" w:color="000000" w:fill="FFFFFF"/>
            <w:noWrap/>
            <w:vAlign w:val="center"/>
            <w:hideMark/>
          </w:tcPr>
          <w:p w14:paraId="48EE1400"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2019</w:t>
            </w:r>
          </w:p>
        </w:tc>
        <w:tc>
          <w:tcPr>
            <w:tcW w:w="340" w:type="dxa"/>
            <w:tcBorders>
              <w:top w:val="single" w:sz="4" w:space="0" w:color="auto"/>
              <w:left w:val="nil"/>
              <w:bottom w:val="nil"/>
              <w:right w:val="nil"/>
            </w:tcBorders>
            <w:shd w:val="clear" w:color="000000" w:fill="FFFFFF"/>
            <w:noWrap/>
            <w:vAlign w:val="center"/>
            <w:hideMark/>
          </w:tcPr>
          <w:p w14:paraId="70821897"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 </w:t>
            </w:r>
          </w:p>
        </w:tc>
        <w:tc>
          <w:tcPr>
            <w:tcW w:w="3841" w:type="dxa"/>
            <w:gridSpan w:val="4"/>
            <w:tcBorders>
              <w:top w:val="single" w:sz="4" w:space="0" w:color="auto"/>
              <w:left w:val="nil"/>
              <w:bottom w:val="nil"/>
              <w:right w:val="nil"/>
            </w:tcBorders>
            <w:shd w:val="clear" w:color="000000" w:fill="FFFFFF"/>
            <w:noWrap/>
            <w:vAlign w:val="center"/>
            <w:hideMark/>
          </w:tcPr>
          <w:p w14:paraId="49F65BD4"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Percent Change</w:t>
            </w:r>
          </w:p>
        </w:tc>
      </w:tr>
      <w:tr w:rsidR="00D47A5D" w:rsidRPr="00D47A5D" w14:paraId="252C8027" w14:textId="77777777" w:rsidTr="00D47A5D">
        <w:trPr>
          <w:trHeight w:val="288"/>
        </w:trPr>
        <w:tc>
          <w:tcPr>
            <w:tcW w:w="2440" w:type="dxa"/>
            <w:vMerge/>
            <w:tcBorders>
              <w:top w:val="single" w:sz="4" w:space="0" w:color="auto"/>
              <w:left w:val="nil"/>
              <w:bottom w:val="single" w:sz="4" w:space="0" w:color="000000"/>
              <w:right w:val="nil"/>
            </w:tcBorders>
            <w:vAlign w:val="center"/>
            <w:hideMark/>
          </w:tcPr>
          <w:p w14:paraId="755EDA9A" w14:textId="77777777" w:rsidR="00D47A5D" w:rsidRPr="00D47A5D" w:rsidRDefault="00D47A5D" w:rsidP="00D47A5D">
            <w:pPr>
              <w:spacing w:after="0" w:line="240" w:lineRule="auto"/>
              <w:rPr>
                <w:rFonts w:ascii="Calibri" w:eastAsia="Times New Roman" w:hAnsi="Calibri" w:cs="Calibri"/>
                <w:b/>
                <w:bCs/>
                <w:color w:val="000000"/>
                <w:sz w:val="20"/>
                <w:szCs w:val="20"/>
              </w:rPr>
            </w:pPr>
          </w:p>
        </w:tc>
        <w:tc>
          <w:tcPr>
            <w:tcW w:w="960" w:type="dxa"/>
            <w:tcBorders>
              <w:top w:val="nil"/>
              <w:left w:val="nil"/>
              <w:bottom w:val="single" w:sz="4" w:space="0" w:color="auto"/>
              <w:right w:val="nil"/>
            </w:tcBorders>
            <w:shd w:val="clear" w:color="000000" w:fill="FFFFFF"/>
            <w:noWrap/>
            <w:vAlign w:val="center"/>
            <w:hideMark/>
          </w:tcPr>
          <w:p w14:paraId="52F54865"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60" w:type="dxa"/>
            <w:tcBorders>
              <w:top w:val="nil"/>
              <w:left w:val="nil"/>
              <w:bottom w:val="single" w:sz="4" w:space="0" w:color="auto"/>
              <w:right w:val="nil"/>
            </w:tcBorders>
            <w:shd w:val="clear" w:color="000000" w:fill="FFFFFF"/>
            <w:noWrap/>
            <w:vAlign w:val="center"/>
            <w:hideMark/>
          </w:tcPr>
          <w:p w14:paraId="26E72DAC"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340" w:type="dxa"/>
            <w:tcBorders>
              <w:top w:val="nil"/>
              <w:left w:val="nil"/>
              <w:bottom w:val="single" w:sz="4" w:space="0" w:color="auto"/>
              <w:right w:val="nil"/>
            </w:tcBorders>
            <w:shd w:val="clear" w:color="000000" w:fill="FFFFFF"/>
            <w:noWrap/>
            <w:vAlign w:val="center"/>
            <w:hideMark/>
          </w:tcPr>
          <w:p w14:paraId="0DCFF74E"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 </w:t>
            </w:r>
          </w:p>
        </w:tc>
        <w:tc>
          <w:tcPr>
            <w:tcW w:w="962" w:type="dxa"/>
            <w:tcBorders>
              <w:top w:val="nil"/>
              <w:left w:val="nil"/>
              <w:bottom w:val="single" w:sz="4" w:space="0" w:color="auto"/>
              <w:right w:val="nil"/>
            </w:tcBorders>
            <w:shd w:val="clear" w:color="000000" w:fill="FFFFFF"/>
            <w:noWrap/>
            <w:vAlign w:val="center"/>
            <w:hideMark/>
          </w:tcPr>
          <w:p w14:paraId="7E4F1A50"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Mean</w:t>
            </w:r>
          </w:p>
        </w:tc>
        <w:tc>
          <w:tcPr>
            <w:tcW w:w="832" w:type="dxa"/>
            <w:tcBorders>
              <w:top w:val="nil"/>
              <w:left w:val="nil"/>
              <w:bottom w:val="single" w:sz="4" w:space="0" w:color="auto"/>
              <w:right w:val="nil"/>
            </w:tcBorders>
            <w:shd w:val="clear" w:color="000000" w:fill="FFFFFF"/>
            <w:noWrap/>
            <w:vAlign w:val="center"/>
            <w:hideMark/>
          </w:tcPr>
          <w:p w14:paraId="3BB16AFF"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Min.</w:t>
            </w:r>
          </w:p>
        </w:tc>
        <w:tc>
          <w:tcPr>
            <w:tcW w:w="1085" w:type="dxa"/>
            <w:tcBorders>
              <w:top w:val="nil"/>
              <w:left w:val="nil"/>
              <w:bottom w:val="single" w:sz="4" w:space="0" w:color="auto"/>
              <w:right w:val="nil"/>
            </w:tcBorders>
            <w:shd w:val="clear" w:color="000000" w:fill="FFFFFF"/>
            <w:noWrap/>
            <w:vAlign w:val="center"/>
            <w:hideMark/>
          </w:tcPr>
          <w:p w14:paraId="20627CE6"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62" w:type="dxa"/>
            <w:tcBorders>
              <w:top w:val="nil"/>
              <w:left w:val="nil"/>
              <w:bottom w:val="single" w:sz="4" w:space="0" w:color="auto"/>
              <w:right w:val="nil"/>
            </w:tcBorders>
            <w:shd w:val="clear" w:color="000000" w:fill="FFFFFF"/>
            <w:noWrap/>
            <w:vAlign w:val="center"/>
            <w:hideMark/>
          </w:tcPr>
          <w:p w14:paraId="7D5E493C"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Max.</w:t>
            </w:r>
          </w:p>
        </w:tc>
      </w:tr>
      <w:tr w:rsidR="00D47A5D" w:rsidRPr="00D47A5D" w14:paraId="695ED78E" w14:textId="77777777" w:rsidTr="00D47A5D">
        <w:trPr>
          <w:trHeight w:val="288"/>
        </w:trPr>
        <w:tc>
          <w:tcPr>
            <w:tcW w:w="2440" w:type="dxa"/>
            <w:tcBorders>
              <w:top w:val="nil"/>
              <w:left w:val="nil"/>
              <w:bottom w:val="nil"/>
              <w:right w:val="nil"/>
            </w:tcBorders>
            <w:shd w:val="clear" w:color="000000" w:fill="FFFFFF"/>
            <w:noWrap/>
            <w:vAlign w:val="bottom"/>
            <w:hideMark/>
          </w:tcPr>
          <w:p w14:paraId="373D2DA9"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410D8FE6"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40564CC9"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340" w:type="dxa"/>
            <w:tcBorders>
              <w:top w:val="nil"/>
              <w:left w:val="nil"/>
              <w:bottom w:val="nil"/>
              <w:right w:val="nil"/>
            </w:tcBorders>
            <w:shd w:val="clear" w:color="000000" w:fill="FFFFFF"/>
            <w:noWrap/>
            <w:vAlign w:val="bottom"/>
            <w:hideMark/>
          </w:tcPr>
          <w:p w14:paraId="49CC99E1"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nil"/>
              <w:right w:val="nil"/>
            </w:tcBorders>
            <w:shd w:val="clear" w:color="000000" w:fill="FFFFFF"/>
            <w:noWrap/>
            <w:vAlign w:val="bottom"/>
            <w:hideMark/>
          </w:tcPr>
          <w:p w14:paraId="493824EE"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32" w:type="dxa"/>
            <w:tcBorders>
              <w:top w:val="nil"/>
              <w:left w:val="nil"/>
              <w:bottom w:val="nil"/>
              <w:right w:val="nil"/>
            </w:tcBorders>
            <w:shd w:val="clear" w:color="000000" w:fill="FFFFFF"/>
            <w:noWrap/>
            <w:vAlign w:val="bottom"/>
            <w:hideMark/>
          </w:tcPr>
          <w:p w14:paraId="09ED9049"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1085" w:type="dxa"/>
            <w:tcBorders>
              <w:top w:val="nil"/>
              <w:left w:val="nil"/>
              <w:bottom w:val="nil"/>
              <w:right w:val="nil"/>
            </w:tcBorders>
            <w:shd w:val="clear" w:color="000000" w:fill="FFFFFF"/>
            <w:noWrap/>
            <w:vAlign w:val="bottom"/>
            <w:hideMark/>
          </w:tcPr>
          <w:p w14:paraId="79C5017B"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nil"/>
              <w:right w:val="nil"/>
            </w:tcBorders>
            <w:shd w:val="clear" w:color="000000" w:fill="FFFFFF"/>
            <w:noWrap/>
            <w:vAlign w:val="bottom"/>
            <w:hideMark/>
          </w:tcPr>
          <w:p w14:paraId="15D6B808"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r>
      <w:tr w:rsidR="00D47A5D" w:rsidRPr="00D47A5D" w14:paraId="37B2A8CF" w14:textId="77777777" w:rsidTr="00D47A5D">
        <w:trPr>
          <w:trHeight w:val="288"/>
        </w:trPr>
        <w:tc>
          <w:tcPr>
            <w:tcW w:w="2440" w:type="dxa"/>
            <w:tcBorders>
              <w:top w:val="nil"/>
              <w:left w:val="nil"/>
              <w:bottom w:val="nil"/>
              <w:right w:val="nil"/>
            </w:tcBorders>
            <w:shd w:val="clear" w:color="000000" w:fill="FFFFFF"/>
            <w:noWrap/>
            <w:vAlign w:val="bottom"/>
            <w:hideMark/>
          </w:tcPr>
          <w:p w14:paraId="76805BD1"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Home Value</w:t>
            </w:r>
          </w:p>
        </w:tc>
        <w:tc>
          <w:tcPr>
            <w:tcW w:w="960" w:type="dxa"/>
            <w:tcBorders>
              <w:top w:val="nil"/>
              <w:left w:val="nil"/>
              <w:bottom w:val="nil"/>
              <w:right w:val="nil"/>
            </w:tcBorders>
            <w:shd w:val="clear" w:color="000000" w:fill="FFFFFF"/>
            <w:noWrap/>
            <w:vAlign w:val="center"/>
            <w:hideMark/>
          </w:tcPr>
          <w:p w14:paraId="354F5D1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$111,163</w:t>
            </w:r>
          </w:p>
        </w:tc>
        <w:tc>
          <w:tcPr>
            <w:tcW w:w="960" w:type="dxa"/>
            <w:tcBorders>
              <w:top w:val="nil"/>
              <w:left w:val="nil"/>
              <w:bottom w:val="nil"/>
              <w:right w:val="nil"/>
            </w:tcBorders>
            <w:shd w:val="clear" w:color="000000" w:fill="FFFFFF"/>
            <w:noWrap/>
            <w:vAlign w:val="center"/>
            <w:hideMark/>
          </w:tcPr>
          <w:p w14:paraId="40B2C7B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$350,500</w:t>
            </w:r>
          </w:p>
        </w:tc>
        <w:tc>
          <w:tcPr>
            <w:tcW w:w="340" w:type="dxa"/>
            <w:tcBorders>
              <w:top w:val="nil"/>
              <w:left w:val="nil"/>
              <w:bottom w:val="nil"/>
              <w:right w:val="nil"/>
            </w:tcBorders>
            <w:shd w:val="clear" w:color="000000" w:fill="FFFFFF"/>
            <w:noWrap/>
            <w:vAlign w:val="center"/>
            <w:hideMark/>
          </w:tcPr>
          <w:p w14:paraId="25A4B69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nil"/>
              <w:right w:val="nil"/>
            </w:tcBorders>
            <w:shd w:val="clear" w:color="000000" w:fill="FFFFFF"/>
            <w:noWrap/>
            <w:vAlign w:val="center"/>
            <w:hideMark/>
          </w:tcPr>
          <w:p w14:paraId="3AFC683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+194%</w:t>
            </w:r>
          </w:p>
        </w:tc>
        <w:tc>
          <w:tcPr>
            <w:tcW w:w="832" w:type="dxa"/>
            <w:tcBorders>
              <w:top w:val="nil"/>
              <w:left w:val="nil"/>
              <w:bottom w:val="nil"/>
              <w:right w:val="nil"/>
            </w:tcBorders>
            <w:shd w:val="clear" w:color="000000" w:fill="FFFFFF"/>
            <w:noWrap/>
            <w:vAlign w:val="center"/>
            <w:hideMark/>
          </w:tcPr>
          <w:p w14:paraId="0035C3E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+59%</w:t>
            </w:r>
          </w:p>
        </w:tc>
        <w:tc>
          <w:tcPr>
            <w:tcW w:w="1085" w:type="dxa"/>
            <w:tcBorders>
              <w:top w:val="nil"/>
              <w:left w:val="nil"/>
              <w:bottom w:val="nil"/>
              <w:right w:val="nil"/>
            </w:tcBorders>
            <w:shd w:val="clear" w:color="000000" w:fill="FFFFFF"/>
            <w:noWrap/>
            <w:vAlign w:val="center"/>
            <w:hideMark/>
          </w:tcPr>
          <w:p w14:paraId="29A9D6F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+204%</w:t>
            </w:r>
          </w:p>
        </w:tc>
        <w:tc>
          <w:tcPr>
            <w:tcW w:w="962" w:type="dxa"/>
            <w:tcBorders>
              <w:top w:val="nil"/>
              <w:left w:val="nil"/>
              <w:bottom w:val="nil"/>
              <w:right w:val="nil"/>
            </w:tcBorders>
            <w:shd w:val="clear" w:color="000000" w:fill="FFFFFF"/>
            <w:noWrap/>
            <w:vAlign w:val="center"/>
            <w:hideMark/>
          </w:tcPr>
          <w:p w14:paraId="73A90F0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+291%</w:t>
            </w:r>
          </w:p>
        </w:tc>
      </w:tr>
      <w:tr w:rsidR="00D47A5D" w:rsidRPr="00D47A5D" w14:paraId="52D9FA2A" w14:textId="77777777" w:rsidTr="00D47A5D">
        <w:trPr>
          <w:trHeight w:val="288"/>
        </w:trPr>
        <w:tc>
          <w:tcPr>
            <w:tcW w:w="2440" w:type="dxa"/>
            <w:tcBorders>
              <w:top w:val="nil"/>
              <w:left w:val="nil"/>
              <w:bottom w:val="nil"/>
              <w:right w:val="nil"/>
            </w:tcBorders>
            <w:shd w:val="clear" w:color="000000" w:fill="FFFFFF"/>
            <w:noWrap/>
            <w:vAlign w:val="bottom"/>
            <w:hideMark/>
          </w:tcPr>
          <w:p w14:paraId="5C02CD43"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Rent Value</w:t>
            </w:r>
          </w:p>
        </w:tc>
        <w:tc>
          <w:tcPr>
            <w:tcW w:w="960" w:type="dxa"/>
            <w:tcBorders>
              <w:top w:val="nil"/>
              <w:left w:val="nil"/>
              <w:bottom w:val="nil"/>
              <w:right w:val="nil"/>
            </w:tcBorders>
            <w:shd w:val="clear" w:color="000000" w:fill="FFFFFF"/>
            <w:noWrap/>
            <w:vAlign w:val="center"/>
            <w:hideMark/>
          </w:tcPr>
          <w:p w14:paraId="728968C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$741</w:t>
            </w:r>
          </w:p>
        </w:tc>
        <w:tc>
          <w:tcPr>
            <w:tcW w:w="960" w:type="dxa"/>
            <w:tcBorders>
              <w:top w:val="nil"/>
              <w:left w:val="nil"/>
              <w:bottom w:val="nil"/>
              <w:right w:val="nil"/>
            </w:tcBorders>
            <w:shd w:val="clear" w:color="000000" w:fill="FFFFFF"/>
            <w:noWrap/>
            <w:vAlign w:val="center"/>
            <w:hideMark/>
          </w:tcPr>
          <w:p w14:paraId="1C860B5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$1,169</w:t>
            </w:r>
          </w:p>
        </w:tc>
        <w:tc>
          <w:tcPr>
            <w:tcW w:w="340" w:type="dxa"/>
            <w:tcBorders>
              <w:top w:val="nil"/>
              <w:left w:val="nil"/>
              <w:bottom w:val="nil"/>
              <w:right w:val="nil"/>
            </w:tcBorders>
            <w:shd w:val="clear" w:color="000000" w:fill="FFFFFF"/>
            <w:noWrap/>
            <w:vAlign w:val="center"/>
            <w:hideMark/>
          </w:tcPr>
          <w:p w14:paraId="5D6DC91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nil"/>
              <w:right w:val="nil"/>
            </w:tcBorders>
            <w:shd w:val="clear" w:color="000000" w:fill="FFFFFF"/>
            <w:noWrap/>
            <w:vAlign w:val="center"/>
            <w:hideMark/>
          </w:tcPr>
          <w:p w14:paraId="57C96CC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+63%</w:t>
            </w:r>
          </w:p>
        </w:tc>
        <w:tc>
          <w:tcPr>
            <w:tcW w:w="832" w:type="dxa"/>
            <w:tcBorders>
              <w:top w:val="nil"/>
              <w:left w:val="nil"/>
              <w:bottom w:val="nil"/>
              <w:right w:val="nil"/>
            </w:tcBorders>
            <w:shd w:val="clear" w:color="000000" w:fill="FFFFFF"/>
            <w:noWrap/>
            <w:vAlign w:val="center"/>
            <w:hideMark/>
          </w:tcPr>
          <w:p w14:paraId="655FB35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+23%</w:t>
            </w:r>
          </w:p>
        </w:tc>
        <w:tc>
          <w:tcPr>
            <w:tcW w:w="1085" w:type="dxa"/>
            <w:tcBorders>
              <w:top w:val="nil"/>
              <w:left w:val="nil"/>
              <w:bottom w:val="nil"/>
              <w:right w:val="nil"/>
            </w:tcBorders>
            <w:shd w:val="clear" w:color="000000" w:fill="FFFFFF"/>
            <w:noWrap/>
            <w:vAlign w:val="center"/>
            <w:hideMark/>
          </w:tcPr>
          <w:p w14:paraId="236FD34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+61%</w:t>
            </w:r>
          </w:p>
        </w:tc>
        <w:tc>
          <w:tcPr>
            <w:tcW w:w="962" w:type="dxa"/>
            <w:tcBorders>
              <w:top w:val="nil"/>
              <w:left w:val="nil"/>
              <w:bottom w:val="nil"/>
              <w:right w:val="nil"/>
            </w:tcBorders>
            <w:shd w:val="clear" w:color="000000" w:fill="FFFFFF"/>
            <w:noWrap/>
            <w:vAlign w:val="center"/>
            <w:hideMark/>
          </w:tcPr>
          <w:p w14:paraId="1409B10D"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+128%</w:t>
            </w:r>
          </w:p>
        </w:tc>
      </w:tr>
      <w:tr w:rsidR="00D47A5D" w:rsidRPr="00D47A5D" w14:paraId="463AA4CB" w14:textId="77777777" w:rsidTr="00D47A5D">
        <w:trPr>
          <w:trHeight w:val="288"/>
        </w:trPr>
        <w:tc>
          <w:tcPr>
            <w:tcW w:w="2440" w:type="dxa"/>
            <w:tcBorders>
              <w:top w:val="nil"/>
              <w:left w:val="nil"/>
              <w:bottom w:val="nil"/>
              <w:right w:val="nil"/>
            </w:tcBorders>
            <w:shd w:val="clear" w:color="000000" w:fill="FFFFFF"/>
            <w:noWrap/>
            <w:vAlign w:val="bottom"/>
            <w:hideMark/>
          </w:tcPr>
          <w:p w14:paraId="0F5F112D"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Household Income</w:t>
            </w:r>
          </w:p>
        </w:tc>
        <w:tc>
          <w:tcPr>
            <w:tcW w:w="960" w:type="dxa"/>
            <w:tcBorders>
              <w:top w:val="nil"/>
              <w:left w:val="nil"/>
              <w:bottom w:val="nil"/>
              <w:right w:val="nil"/>
            </w:tcBorders>
            <w:shd w:val="clear" w:color="000000" w:fill="FFFFFF"/>
            <w:noWrap/>
            <w:vAlign w:val="center"/>
            <w:hideMark/>
          </w:tcPr>
          <w:p w14:paraId="4D229EB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$40,599</w:t>
            </w:r>
          </w:p>
        </w:tc>
        <w:tc>
          <w:tcPr>
            <w:tcW w:w="960" w:type="dxa"/>
            <w:tcBorders>
              <w:top w:val="nil"/>
              <w:left w:val="nil"/>
              <w:bottom w:val="nil"/>
              <w:right w:val="nil"/>
            </w:tcBorders>
            <w:shd w:val="clear" w:color="000000" w:fill="FFFFFF"/>
            <w:noWrap/>
            <w:vAlign w:val="center"/>
            <w:hideMark/>
          </w:tcPr>
          <w:p w14:paraId="4430F674"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$68,889</w:t>
            </w:r>
          </w:p>
        </w:tc>
        <w:tc>
          <w:tcPr>
            <w:tcW w:w="340" w:type="dxa"/>
            <w:tcBorders>
              <w:top w:val="nil"/>
              <w:left w:val="nil"/>
              <w:bottom w:val="nil"/>
              <w:right w:val="nil"/>
            </w:tcBorders>
            <w:shd w:val="clear" w:color="000000" w:fill="FFFFFF"/>
            <w:noWrap/>
            <w:vAlign w:val="center"/>
            <w:hideMark/>
          </w:tcPr>
          <w:p w14:paraId="256B9DA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nil"/>
              <w:right w:val="nil"/>
            </w:tcBorders>
            <w:shd w:val="clear" w:color="000000" w:fill="FFFFFF"/>
            <w:noWrap/>
            <w:vAlign w:val="center"/>
            <w:hideMark/>
          </w:tcPr>
          <w:p w14:paraId="2C8BDD8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+63%</w:t>
            </w:r>
          </w:p>
        </w:tc>
        <w:tc>
          <w:tcPr>
            <w:tcW w:w="832" w:type="dxa"/>
            <w:tcBorders>
              <w:top w:val="nil"/>
              <w:left w:val="nil"/>
              <w:bottom w:val="nil"/>
              <w:right w:val="nil"/>
            </w:tcBorders>
            <w:shd w:val="clear" w:color="000000" w:fill="FFFFFF"/>
            <w:noWrap/>
            <w:vAlign w:val="center"/>
            <w:hideMark/>
          </w:tcPr>
          <w:p w14:paraId="0CBE069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+13%</w:t>
            </w:r>
          </w:p>
        </w:tc>
        <w:tc>
          <w:tcPr>
            <w:tcW w:w="1085" w:type="dxa"/>
            <w:tcBorders>
              <w:top w:val="nil"/>
              <w:left w:val="nil"/>
              <w:bottom w:val="nil"/>
              <w:right w:val="nil"/>
            </w:tcBorders>
            <w:shd w:val="clear" w:color="000000" w:fill="FFFFFF"/>
            <w:noWrap/>
            <w:vAlign w:val="center"/>
            <w:hideMark/>
          </w:tcPr>
          <w:p w14:paraId="710FAF6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+61%</w:t>
            </w:r>
          </w:p>
        </w:tc>
        <w:tc>
          <w:tcPr>
            <w:tcW w:w="962" w:type="dxa"/>
            <w:tcBorders>
              <w:top w:val="nil"/>
              <w:left w:val="nil"/>
              <w:bottom w:val="nil"/>
              <w:right w:val="nil"/>
            </w:tcBorders>
            <w:shd w:val="clear" w:color="000000" w:fill="FFFFFF"/>
            <w:noWrap/>
            <w:vAlign w:val="center"/>
            <w:hideMark/>
          </w:tcPr>
          <w:p w14:paraId="01CA3AB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+107%</w:t>
            </w:r>
          </w:p>
        </w:tc>
      </w:tr>
      <w:tr w:rsidR="00D47A5D" w:rsidRPr="00D47A5D" w14:paraId="6A7A113A" w14:textId="77777777" w:rsidTr="00D47A5D">
        <w:trPr>
          <w:trHeight w:val="288"/>
        </w:trPr>
        <w:tc>
          <w:tcPr>
            <w:tcW w:w="2440" w:type="dxa"/>
            <w:tcBorders>
              <w:top w:val="nil"/>
              <w:left w:val="nil"/>
              <w:bottom w:val="nil"/>
              <w:right w:val="nil"/>
            </w:tcBorders>
            <w:shd w:val="clear" w:color="000000" w:fill="FFFFFF"/>
            <w:noWrap/>
            <w:vAlign w:val="bottom"/>
            <w:hideMark/>
          </w:tcPr>
          <w:p w14:paraId="52D0C954"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College Degree</w:t>
            </w:r>
          </w:p>
        </w:tc>
        <w:tc>
          <w:tcPr>
            <w:tcW w:w="960" w:type="dxa"/>
            <w:tcBorders>
              <w:top w:val="nil"/>
              <w:left w:val="nil"/>
              <w:bottom w:val="nil"/>
              <w:right w:val="nil"/>
            </w:tcBorders>
            <w:shd w:val="clear" w:color="000000" w:fill="FFFFFF"/>
            <w:noWrap/>
            <w:vAlign w:val="center"/>
            <w:hideMark/>
          </w:tcPr>
          <w:p w14:paraId="2EC8743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18%</w:t>
            </w:r>
          </w:p>
        </w:tc>
        <w:tc>
          <w:tcPr>
            <w:tcW w:w="960" w:type="dxa"/>
            <w:tcBorders>
              <w:top w:val="nil"/>
              <w:left w:val="nil"/>
              <w:bottom w:val="nil"/>
              <w:right w:val="nil"/>
            </w:tcBorders>
            <w:shd w:val="clear" w:color="000000" w:fill="FFFFFF"/>
            <w:noWrap/>
            <w:vAlign w:val="center"/>
            <w:hideMark/>
          </w:tcPr>
          <w:p w14:paraId="5B1FD7A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54%</w:t>
            </w:r>
          </w:p>
        </w:tc>
        <w:tc>
          <w:tcPr>
            <w:tcW w:w="340" w:type="dxa"/>
            <w:tcBorders>
              <w:top w:val="nil"/>
              <w:left w:val="nil"/>
              <w:bottom w:val="nil"/>
              <w:right w:val="nil"/>
            </w:tcBorders>
            <w:shd w:val="clear" w:color="000000" w:fill="FFFFFF"/>
            <w:noWrap/>
            <w:vAlign w:val="center"/>
            <w:hideMark/>
          </w:tcPr>
          <w:p w14:paraId="6FA1ABF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nil"/>
              <w:right w:val="nil"/>
            </w:tcBorders>
            <w:shd w:val="clear" w:color="000000" w:fill="FFFFFF"/>
            <w:noWrap/>
            <w:vAlign w:val="center"/>
            <w:hideMark/>
          </w:tcPr>
          <w:p w14:paraId="284EEB5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+35%</w:t>
            </w:r>
          </w:p>
        </w:tc>
        <w:tc>
          <w:tcPr>
            <w:tcW w:w="832" w:type="dxa"/>
            <w:tcBorders>
              <w:top w:val="nil"/>
              <w:left w:val="nil"/>
              <w:bottom w:val="nil"/>
              <w:right w:val="nil"/>
            </w:tcBorders>
            <w:shd w:val="clear" w:color="000000" w:fill="FFFFFF"/>
            <w:noWrap/>
            <w:vAlign w:val="center"/>
            <w:hideMark/>
          </w:tcPr>
          <w:p w14:paraId="76A71C8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+20%</w:t>
            </w:r>
          </w:p>
        </w:tc>
        <w:tc>
          <w:tcPr>
            <w:tcW w:w="1085" w:type="dxa"/>
            <w:tcBorders>
              <w:top w:val="nil"/>
              <w:left w:val="nil"/>
              <w:bottom w:val="nil"/>
              <w:right w:val="nil"/>
            </w:tcBorders>
            <w:shd w:val="clear" w:color="000000" w:fill="FFFFFF"/>
            <w:noWrap/>
            <w:vAlign w:val="center"/>
            <w:hideMark/>
          </w:tcPr>
          <w:p w14:paraId="03FE628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+33%</w:t>
            </w:r>
          </w:p>
        </w:tc>
        <w:tc>
          <w:tcPr>
            <w:tcW w:w="962" w:type="dxa"/>
            <w:tcBorders>
              <w:top w:val="nil"/>
              <w:left w:val="nil"/>
              <w:bottom w:val="nil"/>
              <w:right w:val="nil"/>
            </w:tcBorders>
            <w:shd w:val="clear" w:color="000000" w:fill="FFFFFF"/>
            <w:noWrap/>
            <w:vAlign w:val="center"/>
            <w:hideMark/>
          </w:tcPr>
          <w:p w14:paraId="511695B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+55%</w:t>
            </w:r>
          </w:p>
        </w:tc>
      </w:tr>
      <w:tr w:rsidR="00D47A5D" w:rsidRPr="00D47A5D" w14:paraId="17BCB979" w14:textId="77777777" w:rsidTr="00D47A5D">
        <w:trPr>
          <w:trHeight w:val="288"/>
        </w:trPr>
        <w:tc>
          <w:tcPr>
            <w:tcW w:w="2440" w:type="dxa"/>
            <w:tcBorders>
              <w:top w:val="nil"/>
              <w:left w:val="nil"/>
              <w:bottom w:val="nil"/>
              <w:right w:val="nil"/>
            </w:tcBorders>
            <w:shd w:val="clear" w:color="000000" w:fill="FFFFFF"/>
            <w:noWrap/>
            <w:vAlign w:val="bottom"/>
            <w:hideMark/>
          </w:tcPr>
          <w:p w14:paraId="67F3BB0E"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Multi-Unit Housing</w:t>
            </w:r>
          </w:p>
        </w:tc>
        <w:tc>
          <w:tcPr>
            <w:tcW w:w="960" w:type="dxa"/>
            <w:tcBorders>
              <w:top w:val="nil"/>
              <w:left w:val="nil"/>
              <w:bottom w:val="nil"/>
              <w:right w:val="nil"/>
            </w:tcBorders>
            <w:shd w:val="clear" w:color="000000" w:fill="FFFFFF"/>
            <w:noWrap/>
            <w:vAlign w:val="center"/>
            <w:hideMark/>
          </w:tcPr>
          <w:p w14:paraId="0C5BF1E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43%</w:t>
            </w:r>
          </w:p>
        </w:tc>
        <w:tc>
          <w:tcPr>
            <w:tcW w:w="960" w:type="dxa"/>
            <w:tcBorders>
              <w:top w:val="nil"/>
              <w:left w:val="nil"/>
              <w:bottom w:val="nil"/>
              <w:right w:val="nil"/>
            </w:tcBorders>
            <w:shd w:val="clear" w:color="000000" w:fill="FFFFFF"/>
            <w:noWrap/>
            <w:vAlign w:val="center"/>
            <w:hideMark/>
          </w:tcPr>
          <w:p w14:paraId="3E5B573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35%</w:t>
            </w:r>
          </w:p>
        </w:tc>
        <w:tc>
          <w:tcPr>
            <w:tcW w:w="340" w:type="dxa"/>
            <w:tcBorders>
              <w:top w:val="nil"/>
              <w:left w:val="nil"/>
              <w:bottom w:val="nil"/>
              <w:right w:val="nil"/>
            </w:tcBorders>
            <w:shd w:val="clear" w:color="000000" w:fill="FFFFFF"/>
            <w:noWrap/>
            <w:vAlign w:val="center"/>
            <w:hideMark/>
          </w:tcPr>
          <w:p w14:paraId="512E03A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nil"/>
              <w:right w:val="nil"/>
            </w:tcBorders>
            <w:shd w:val="clear" w:color="000000" w:fill="FFFFFF"/>
            <w:noWrap/>
            <w:vAlign w:val="center"/>
            <w:hideMark/>
          </w:tcPr>
          <w:p w14:paraId="6D4F886A" w14:textId="55B85559"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w:t>
            </w:r>
          </w:p>
        </w:tc>
        <w:tc>
          <w:tcPr>
            <w:tcW w:w="832" w:type="dxa"/>
            <w:tcBorders>
              <w:top w:val="nil"/>
              <w:left w:val="nil"/>
              <w:bottom w:val="nil"/>
              <w:right w:val="nil"/>
            </w:tcBorders>
            <w:shd w:val="clear" w:color="000000" w:fill="FFFFFF"/>
            <w:noWrap/>
            <w:vAlign w:val="center"/>
            <w:hideMark/>
          </w:tcPr>
          <w:p w14:paraId="1F314DC9" w14:textId="4633A5CF"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-21%</w:t>
            </w:r>
          </w:p>
        </w:tc>
        <w:tc>
          <w:tcPr>
            <w:tcW w:w="1085" w:type="dxa"/>
            <w:tcBorders>
              <w:top w:val="nil"/>
              <w:left w:val="nil"/>
              <w:bottom w:val="nil"/>
              <w:right w:val="nil"/>
            </w:tcBorders>
            <w:shd w:val="clear" w:color="000000" w:fill="FFFFFF"/>
            <w:noWrap/>
            <w:vAlign w:val="center"/>
            <w:hideMark/>
          </w:tcPr>
          <w:p w14:paraId="4181D47D" w14:textId="25A5016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w:t>
            </w:r>
          </w:p>
        </w:tc>
        <w:tc>
          <w:tcPr>
            <w:tcW w:w="962" w:type="dxa"/>
            <w:tcBorders>
              <w:top w:val="nil"/>
              <w:left w:val="nil"/>
              <w:bottom w:val="nil"/>
              <w:right w:val="nil"/>
            </w:tcBorders>
            <w:shd w:val="clear" w:color="000000" w:fill="FFFFFF"/>
            <w:noWrap/>
            <w:vAlign w:val="center"/>
            <w:hideMark/>
          </w:tcPr>
          <w:p w14:paraId="2CC1894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+12%</w:t>
            </w:r>
          </w:p>
        </w:tc>
      </w:tr>
      <w:tr w:rsidR="00D47A5D" w:rsidRPr="00D47A5D" w14:paraId="1CC9D7C8" w14:textId="77777777" w:rsidTr="00D47A5D">
        <w:trPr>
          <w:trHeight w:val="288"/>
        </w:trPr>
        <w:tc>
          <w:tcPr>
            <w:tcW w:w="2440" w:type="dxa"/>
            <w:tcBorders>
              <w:top w:val="nil"/>
              <w:left w:val="nil"/>
              <w:bottom w:val="single" w:sz="4" w:space="0" w:color="auto"/>
              <w:right w:val="nil"/>
            </w:tcBorders>
            <w:shd w:val="clear" w:color="000000" w:fill="FFFFFF"/>
            <w:noWrap/>
            <w:vAlign w:val="bottom"/>
            <w:hideMark/>
          </w:tcPr>
          <w:p w14:paraId="3E24056A"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White</w:t>
            </w:r>
          </w:p>
        </w:tc>
        <w:tc>
          <w:tcPr>
            <w:tcW w:w="960" w:type="dxa"/>
            <w:tcBorders>
              <w:top w:val="nil"/>
              <w:left w:val="nil"/>
              <w:bottom w:val="single" w:sz="4" w:space="0" w:color="auto"/>
              <w:right w:val="nil"/>
            </w:tcBorders>
            <w:shd w:val="clear" w:color="000000" w:fill="FFFFFF"/>
            <w:noWrap/>
            <w:vAlign w:val="center"/>
            <w:hideMark/>
          </w:tcPr>
          <w:p w14:paraId="06F07EA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43%</w:t>
            </w:r>
          </w:p>
        </w:tc>
        <w:tc>
          <w:tcPr>
            <w:tcW w:w="960" w:type="dxa"/>
            <w:tcBorders>
              <w:top w:val="nil"/>
              <w:left w:val="nil"/>
              <w:bottom w:val="single" w:sz="4" w:space="0" w:color="auto"/>
              <w:right w:val="nil"/>
            </w:tcBorders>
            <w:shd w:val="clear" w:color="000000" w:fill="FFFFFF"/>
            <w:noWrap/>
            <w:vAlign w:val="center"/>
            <w:hideMark/>
          </w:tcPr>
          <w:p w14:paraId="5337FA5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68%</w:t>
            </w:r>
          </w:p>
        </w:tc>
        <w:tc>
          <w:tcPr>
            <w:tcW w:w="340" w:type="dxa"/>
            <w:tcBorders>
              <w:top w:val="nil"/>
              <w:left w:val="nil"/>
              <w:bottom w:val="single" w:sz="4" w:space="0" w:color="auto"/>
              <w:right w:val="nil"/>
            </w:tcBorders>
            <w:shd w:val="clear" w:color="000000" w:fill="FFFFFF"/>
            <w:noWrap/>
            <w:vAlign w:val="center"/>
            <w:hideMark/>
          </w:tcPr>
          <w:p w14:paraId="258C2A2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2" w:type="dxa"/>
            <w:tcBorders>
              <w:top w:val="nil"/>
              <w:left w:val="nil"/>
              <w:bottom w:val="single" w:sz="4" w:space="0" w:color="auto"/>
              <w:right w:val="nil"/>
            </w:tcBorders>
            <w:shd w:val="clear" w:color="000000" w:fill="FFFFFF"/>
            <w:noWrap/>
            <w:vAlign w:val="center"/>
            <w:hideMark/>
          </w:tcPr>
          <w:p w14:paraId="0D3B1E9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+22%</w:t>
            </w:r>
          </w:p>
        </w:tc>
        <w:tc>
          <w:tcPr>
            <w:tcW w:w="832" w:type="dxa"/>
            <w:tcBorders>
              <w:top w:val="nil"/>
              <w:left w:val="nil"/>
              <w:bottom w:val="single" w:sz="4" w:space="0" w:color="auto"/>
              <w:right w:val="nil"/>
            </w:tcBorders>
            <w:shd w:val="clear" w:color="000000" w:fill="FFFFFF"/>
            <w:noWrap/>
            <w:vAlign w:val="center"/>
            <w:hideMark/>
          </w:tcPr>
          <w:p w14:paraId="30119F09" w14:textId="466CC46D"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w:t>
            </w:r>
          </w:p>
        </w:tc>
        <w:tc>
          <w:tcPr>
            <w:tcW w:w="1085" w:type="dxa"/>
            <w:tcBorders>
              <w:top w:val="nil"/>
              <w:left w:val="nil"/>
              <w:bottom w:val="single" w:sz="4" w:space="0" w:color="auto"/>
              <w:right w:val="nil"/>
            </w:tcBorders>
            <w:shd w:val="clear" w:color="000000" w:fill="FFFFFF"/>
            <w:noWrap/>
            <w:vAlign w:val="center"/>
            <w:hideMark/>
          </w:tcPr>
          <w:p w14:paraId="2F0EF2BD"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+23%</w:t>
            </w:r>
          </w:p>
        </w:tc>
        <w:tc>
          <w:tcPr>
            <w:tcW w:w="962" w:type="dxa"/>
            <w:tcBorders>
              <w:top w:val="nil"/>
              <w:left w:val="nil"/>
              <w:bottom w:val="single" w:sz="4" w:space="0" w:color="auto"/>
              <w:right w:val="nil"/>
            </w:tcBorders>
            <w:shd w:val="clear" w:color="000000" w:fill="FFFFFF"/>
            <w:noWrap/>
            <w:vAlign w:val="center"/>
            <w:hideMark/>
          </w:tcPr>
          <w:p w14:paraId="6B8307A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+60%</w:t>
            </w:r>
          </w:p>
        </w:tc>
      </w:tr>
    </w:tbl>
    <w:p w14:paraId="1CF8DB6D" w14:textId="77777777" w:rsidR="0041367A" w:rsidRDefault="0041367A" w:rsidP="00C42A23">
      <w:pPr>
        <w:autoSpaceDE w:val="0"/>
        <w:autoSpaceDN w:val="0"/>
        <w:adjustRightInd w:val="0"/>
        <w:spacing w:after="0" w:line="240" w:lineRule="auto"/>
        <w:rPr>
          <w:rFonts w:ascii="Calibri" w:hAnsi="Calibri" w:cs="Calibri"/>
          <w:color w:val="000000"/>
        </w:rPr>
      </w:pPr>
    </w:p>
    <w:p w14:paraId="216F694D" w14:textId="77777777" w:rsidR="0041367A" w:rsidRDefault="0041367A" w:rsidP="0041367A">
      <w:pPr>
        <w:autoSpaceDE w:val="0"/>
        <w:autoSpaceDN w:val="0"/>
        <w:adjustRightInd w:val="0"/>
        <w:spacing w:after="0" w:line="240" w:lineRule="auto"/>
        <w:ind w:firstLine="720"/>
        <w:jc w:val="center"/>
        <w:rPr>
          <w:rFonts w:ascii="Calibri" w:hAnsi="Calibri" w:cs="Calibri"/>
          <w:color w:val="000000"/>
        </w:rPr>
      </w:pPr>
    </w:p>
    <w:p w14:paraId="60491B75" w14:textId="77777777" w:rsidR="0041367A" w:rsidRDefault="0041367A" w:rsidP="0041367A">
      <w:pPr>
        <w:keepNext/>
        <w:autoSpaceDE w:val="0"/>
        <w:autoSpaceDN w:val="0"/>
        <w:adjustRightInd w:val="0"/>
        <w:spacing w:after="0" w:line="240" w:lineRule="auto"/>
        <w:ind w:firstLine="720"/>
        <w:jc w:val="center"/>
      </w:pPr>
      <w:r>
        <w:rPr>
          <w:rFonts w:ascii="Calibri" w:hAnsi="Calibri" w:cs="Calibri"/>
          <w:noProof/>
          <w:color w:val="000000"/>
        </w:rPr>
        <w:drawing>
          <wp:inline distT="0" distB="0" distL="0" distR="0" wp14:anchorId="571F58A2" wp14:editId="3D735358">
            <wp:extent cx="3800103" cy="3475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5" cstate="print">
                      <a:extLst>
                        <a:ext uri="{28A0092B-C50C-407E-A947-70E740481C1C}">
                          <a14:useLocalDpi xmlns:a14="http://schemas.microsoft.com/office/drawing/2010/main" val="0"/>
                        </a:ext>
                      </a:extLst>
                    </a:blip>
                    <a:srcRect l="15740" t="10519" r="14815" b="7305"/>
                    <a:stretch/>
                  </pic:blipFill>
                  <pic:spPr bwMode="auto">
                    <a:xfrm>
                      <a:off x="0" y="0"/>
                      <a:ext cx="3813048" cy="3487544"/>
                    </a:xfrm>
                    <a:prstGeom prst="rect">
                      <a:avLst/>
                    </a:prstGeom>
                    <a:ln>
                      <a:noFill/>
                    </a:ln>
                    <a:extLst>
                      <a:ext uri="{53640926-AAD7-44D8-BBD7-CCE9431645EC}">
                        <a14:shadowObscured xmlns:a14="http://schemas.microsoft.com/office/drawing/2010/main"/>
                      </a:ext>
                    </a:extLst>
                  </pic:spPr>
                </pic:pic>
              </a:graphicData>
            </a:graphic>
          </wp:inline>
        </w:drawing>
      </w:r>
    </w:p>
    <w:p w14:paraId="04A010C8" w14:textId="178D47A4" w:rsidR="0041367A" w:rsidRPr="009E185D" w:rsidRDefault="0041367A" w:rsidP="0041367A">
      <w:pPr>
        <w:pStyle w:val="Caption"/>
        <w:jc w:val="center"/>
        <w:rPr>
          <w:rFonts w:ascii="Calibri" w:hAnsi="Calibri" w:cs="Calibri"/>
          <w:color w:val="000000"/>
          <w:sz w:val="20"/>
          <w:szCs w:val="20"/>
        </w:rPr>
      </w:pPr>
      <w:r w:rsidRPr="009E185D">
        <w:rPr>
          <w:sz w:val="20"/>
          <w:szCs w:val="20"/>
        </w:rPr>
        <w:t xml:space="preserve">Figure </w:t>
      </w:r>
      <w:r w:rsidR="008E7477" w:rsidRPr="009E185D">
        <w:rPr>
          <w:sz w:val="20"/>
          <w:szCs w:val="20"/>
        </w:rPr>
        <w:fldChar w:fldCharType="begin"/>
      </w:r>
      <w:r w:rsidR="008E7477" w:rsidRPr="009E185D">
        <w:rPr>
          <w:sz w:val="20"/>
          <w:szCs w:val="20"/>
        </w:rPr>
        <w:instrText xml:space="preserve"> SEQ Figure \* ARABIC </w:instrText>
      </w:r>
      <w:r w:rsidR="008E7477" w:rsidRPr="009E185D">
        <w:rPr>
          <w:sz w:val="20"/>
          <w:szCs w:val="20"/>
        </w:rPr>
        <w:fldChar w:fldCharType="separate"/>
      </w:r>
      <w:r w:rsidRPr="009E185D">
        <w:rPr>
          <w:noProof/>
          <w:sz w:val="20"/>
          <w:szCs w:val="20"/>
        </w:rPr>
        <w:t>6</w:t>
      </w:r>
      <w:r w:rsidR="008E7477" w:rsidRPr="009E185D">
        <w:rPr>
          <w:noProof/>
          <w:sz w:val="20"/>
          <w:szCs w:val="20"/>
        </w:rPr>
        <w:fldChar w:fldCharType="end"/>
      </w:r>
      <w:r w:rsidRPr="009E185D">
        <w:rPr>
          <w:sz w:val="20"/>
          <w:szCs w:val="20"/>
        </w:rPr>
        <w:t xml:space="preserve">. Cluster </w:t>
      </w:r>
      <w:r w:rsidR="00A504AC" w:rsidRPr="009E185D">
        <w:rPr>
          <w:sz w:val="20"/>
          <w:szCs w:val="20"/>
        </w:rPr>
        <w:t>2</w:t>
      </w:r>
      <w:r w:rsidRPr="009E185D">
        <w:rPr>
          <w:sz w:val="20"/>
          <w:szCs w:val="20"/>
        </w:rPr>
        <w:t xml:space="preserve"> zoomed locations</w:t>
      </w:r>
    </w:p>
    <w:p w14:paraId="49EFAF78" w14:textId="77777777" w:rsidR="0041367A" w:rsidRPr="00EC787E" w:rsidRDefault="0041367A" w:rsidP="004B2D71">
      <w:pPr>
        <w:autoSpaceDE w:val="0"/>
        <w:autoSpaceDN w:val="0"/>
        <w:adjustRightInd w:val="0"/>
        <w:spacing w:after="0" w:line="240" w:lineRule="auto"/>
        <w:ind w:firstLine="720"/>
        <w:rPr>
          <w:rFonts w:ascii="Calibri" w:hAnsi="Calibri" w:cs="Calibri"/>
          <w:color w:val="000000"/>
        </w:rPr>
      </w:pPr>
    </w:p>
    <w:p w14:paraId="1C2C09EB" w14:textId="4E759875" w:rsidR="00BB7984" w:rsidRDefault="00044A7B" w:rsidP="0072217E">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t xml:space="preserve">Cluster </w:t>
      </w:r>
      <w:r w:rsidR="00EC787E" w:rsidRPr="00EC787E">
        <w:rPr>
          <w:rFonts w:ascii="Calibri" w:hAnsi="Calibri" w:cs="Calibri"/>
          <w:color w:val="000000"/>
        </w:rPr>
        <w:t xml:space="preserve">3 </w:t>
      </w:r>
      <w:r w:rsidR="0072217E">
        <w:rPr>
          <w:rFonts w:ascii="Calibri" w:hAnsi="Calibri" w:cs="Calibri"/>
          <w:color w:val="000000"/>
        </w:rPr>
        <w:t>contains</w:t>
      </w:r>
      <w:r w:rsidR="00EC787E" w:rsidRPr="00EC787E">
        <w:rPr>
          <w:rFonts w:ascii="Calibri" w:hAnsi="Calibri" w:cs="Calibri"/>
          <w:color w:val="000000"/>
        </w:rPr>
        <w:t xml:space="preserve"> </w:t>
      </w:r>
      <w:r w:rsidR="00BE1C8F">
        <w:rPr>
          <w:rFonts w:ascii="Calibri" w:hAnsi="Calibri" w:cs="Calibri"/>
          <w:color w:val="000000"/>
        </w:rPr>
        <w:t>two</w:t>
      </w:r>
      <w:r w:rsidR="00EC787E" w:rsidRPr="00EC787E">
        <w:rPr>
          <w:rFonts w:ascii="Calibri" w:hAnsi="Calibri" w:cs="Calibri"/>
          <w:color w:val="000000"/>
        </w:rPr>
        <w:t xml:space="preserve"> </w:t>
      </w:r>
      <w:r w:rsidR="0072217E">
        <w:rPr>
          <w:rFonts w:ascii="Calibri" w:hAnsi="Calibri" w:cs="Calibri"/>
          <w:color w:val="000000"/>
        </w:rPr>
        <w:t>central city c</w:t>
      </w:r>
      <w:r w:rsidR="00EC787E" w:rsidRPr="00EC787E">
        <w:rPr>
          <w:rFonts w:ascii="Calibri" w:hAnsi="Calibri" w:cs="Calibri"/>
          <w:color w:val="000000"/>
        </w:rPr>
        <w:t>ensus tracts</w:t>
      </w:r>
      <w:r w:rsidR="00BB7984">
        <w:rPr>
          <w:rFonts w:ascii="Calibri" w:hAnsi="Calibri" w:cs="Calibri"/>
          <w:color w:val="000000"/>
        </w:rPr>
        <w:t xml:space="preserve"> (Figure 8)</w:t>
      </w:r>
      <w:r w:rsidR="00B44254">
        <w:rPr>
          <w:rFonts w:ascii="Calibri" w:hAnsi="Calibri" w:cs="Calibri"/>
          <w:color w:val="000000"/>
        </w:rPr>
        <w:t xml:space="preserve"> which have</w:t>
      </w:r>
      <w:r w:rsidR="0072217E">
        <w:rPr>
          <w:rFonts w:ascii="Calibri" w:hAnsi="Calibri" w:cs="Calibri"/>
          <w:color w:val="000000"/>
        </w:rPr>
        <w:t xml:space="preserve"> experienc</w:t>
      </w:r>
      <w:r w:rsidR="00B44254">
        <w:rPr>
          <w:rFonts w:ascii="Calibri" w:hAnsi="Calibri" w:cs="Calibri"/>
          <w:color w:val="000000"/>
        </w:rPr>
        <w:t>ed</w:t>
      </w:r>
      <w:r w:rsidR="0072217E">
        <w:rPr>
          <w:rFonts w:ascii="Calibri" w:hAnsi="Calibri" w:cs="Calibri"/>
          <w:color w:val="000000"/>
        </w:rPr>
        <w:t xml:space="preserve"> the largest socioeconomic</w:t>
      </w:r>
      <w:r w:rsidR="00EA1ED7">
        <w:rPr>
          <w:rFonts w:ascii="Calibri" w:hAnsi="Calibri" w:cs="Calibri"/>
          <w:color w:val="000000"/>
        </w:rPr>
        <w:t xml:space="preserve">, racial, and built </w:t>
      </w:r>
      <w:r w:rsidR="00BB7984">
        <w:rPr>
          <w:rFonts w:ascii="Calibri" w:hAnsi="Calibri" w:cs="Calibri"/>
          <w:color w:val="000000"/>
        </w:rPr>
        <w:t>environment</w:t>
      </w:r>
      <w:r w:rsidR="0072217E">
        <w:rPr>
          <w:rFonts w:ascii="Calibri" w:hAnsi="Calibri" w:cs="Calibri"/>
          <w:color w:val="000000"/>
        </w:rPr>
        <w:t xml:space="preserve"> changes</w:t>
      </w:r>
      <w:r w:rsidR="00EC787E" w:rsidRPr="00EC787E">
        <w:rPr>
          <w:rFonts w:ascii="Calibri" w:hAnsi="Calibri" w:cs="Calibri"/>
          <w:color w:val="000000"/>
        </w:rPr>
        <w:t xml:space="preserve"> </w:t>
      </w:r>
      <w:r w:rsidR="00BE1C8F">
        <w:rPr>
          <w:rFonts w:ascii="Calibri" w:hAnsi="Calibri" w:cs="Calibri"/>
          <w:color w:val="000000"/>
        </w:rPr>
        <w:t>across</w:t>
      </w:r>
      <w:r w:rsidR="0072217E">
        <w:rPr>
          <w:rFonts w:ascii="Calibri" w:hAnsi="Calibri" w:cs="Calibri"/>
          <w:color w:val="000000"/>
        </w:rPr>
        <w:t xml:space="preserve"> </w:t>
      </w:r>
      <w:r w:rsidR="003A13C5">
        <w:rPr>
          <w:rFonts w:ascii="Calibri" w:hAnsi="Calibri" w:cs="Calibri"/>
          <w:color w:val="000000"/>
        </w:rPr>
        <w:t>all</w:t>
      </w:r>
      <w:r w:rsidR="009D4CE6">
        <w:rPr>
          <w:rFonts w:ascii="Calibri" w:hAnsi="Calibri" w:cs="Calibri"/>
          <w:color w:val="000000"/>
        </w:rPr>
        <w:t xml:space="preserve"> </w:t>
      </w:r>
      <w:r w:rsidR="0072217E">
        <w:rPr>
          <w:rFonts w:ascii="Calibri" w:hAnsi="Calibri" w:cs="Calibri"/>
          <w:color w:val="000000"/>
        </w:rPr>
        <w:t>Davidson County cluster</w:t>
      </w:r>
      <w:r w:rsidR="009D4CE6">
        <w:rPr>
          <w:rFonts w:ascii="Calibri" w:hAnsi="Calibri" w:cs="Calibri"/>
          <w:color w:val="000000"/>
        </w:rPr>
        <w:t>s</w:t>
      </w:r>
      <w:r w:rsidR="00EC787E" w:rsidRPr="00EC787E">
        <w:rPr>
          <w:rFonts w:ascii="Calibri" w:hAnsi="Calibri" w:cs="Calibri"/>
          <w:color w:val="000000"/>
        </w:rPr>
        <w:t>.</w:t>
      </w:r>
      <w:r w:rsidR="0072217E">
        <w:rPr>
          <w:rFonts w:ascii="Calibri" w:hAnsi="Calibri" w:cs="Calibri"/>
          <w:color w:val="000000"/>
        </w:rPr>
        <w:t xml:space="preserve"> This cluster </w:t>
      </w:r>
      <w:r w:rsidR="009D4CE6">
        <w:rPr>
          <w:rFonts w:ascii="Calibri" w:hAnsi="Calibri" w:cs="Calibri"/>
          <w:color w:val="000000"/>
        </w:rPr>
        <w:t>saw</w:t>
      </w:r>
      <w:r w:rsidR="0072217E">
        <w:rPr>
          <w:rFonts w:ascii="Calibri" w:hAnsi="Calibri" w:cs="Calibri"/>
          <w:color w:val="000000"/>
        </w:rPr>
        <w:t xml:space="preserve"> </w:t>
      </w:r>
      <w:r w:rsidR="009D4CE6">
        <w:rPr>
          <w:rFonts w:ascii="Calibri" w:hAnsi="Calibri" w:cs="Calibri"/>
          <w:color w:val="000000"/>
        </w:rPr>
        <w:t>extreme</w:t>
      </w:r>
      <w:r w:rsidR="0072217E">
        <w:rPr>
          <w:rFonts w:ascii="Calibri" w:hAnsi="Calibri" w:cs="Calibri"/>
          <w:color w:val="000000"/>
        </w:rPr>
        <w:t xml:space="preserve"> increase</w:t>
      </w:r>
      <w:r w:rsidR="009D4CE6">
        <w:rPr>
          <w:rFonts w:ascii="Calibri" w:hAnsi="Calibri" w:cs="Calibri"/>
          <w:color w:val="000000"/>
        </w:rPr>
        <w:t>s</w:t>
      </w:r>
      <w:r w:rsidR="0072217E">
        <w:rPr>
          <w:rFonts w:ascii="Calibri" w:hAnsi="Calibri" w:cs="Calibri"/>
          <w:color w:val="000000"/>
        </w:rPr>
        <w:t xml:space="preserve"> in each of the six measured socioeconomic variables</w:t>
      </w:r>
      <w:r w:rsidR="00BE1C8F">
        <w:rPr>
          <w:rFonts w:ascii="Calibri" w:hAnsi="Calibri" w:cs="Calibri"/>
          <w:color w:val="000000"/>
        </w:rPr>
        <w:t>:</w:t>
      </w:r>
      <w:r w:rsidR="00E5666A">
        <w:rPr>
          <w:rFonts w:ascii="Calibri" w:hAnsi="Calibri" w:cs="Calibri"/>
          <w:color w:val="000000"/>
        </w:rPr>
        <w:t xml:space="preserve"> home (+262%</w:t>
      </w:r>
      <w:r w:rsidR="00E5666A" w:rsidRPr="00EC787E">
        <w:rPr>
          <w:rFonts w:ascii="Calibri" w:hAnsi="Calibri" w:cs="Calibri"/>
          <w:color w:val="000000"/>
        </w:rPr>
        <w:t xml:space="preserve">), </w:t>
      </w:r>
      <w:r w:rsidR="00E5666A">
        <w:rPr>
          <w:rFonts w:ascii="Calibri" w:hAnsi="Calibri" w:cs="Calibri"/>
          <w:color w:val="000000"/>
        </w:rPr>
        <w:t>rent (+244%)</w:t>
      </w:r>
      <w:r w:rsidR="00BE1C8F">
        <w:rPr>
          <w:rFonts w:ascii="Calibri" w:hAnsi="Calibri" w:cs="Calibri"/>
          <w:color w:val="000000"/>
        </w:rPr>
        <w:t>,</w:t>
      </w:r>
      <w:r w:rsidR="00E5666A">
        <w:rPr>
          <w:rFonts w:ascii="Calibri" w:hAnsi="Calibri" w:cs="Calibri"/>
          <w:color w:val="000000"/>
        </w:rPr>
        <w:t xml:space="preserve"> </w:t>
      </w:r>
      <w:r w:rsidR="00E5666A" w:rsidRPr="00EC787E">
        <w:rPr>
          <w:rFonts w:ascii="Calibri" w:hAnsi="Calibri" w:cs="Calibri"/>
          <w:color w:val="000000"/>
        </w:rPr>
        <w:t>ed</w:t>
      </w:r>
      <w:r w:rsidR="00E5666A">
        <w:rPr>
          <w:rFonts w:ascii="Calibri" w:hAnsi="Calibri" w:cs="Calibri"/>
          <w:color w:val="000000"/>
        </w:rPr>
        <w:t>ucation (+45%), income (+244%</w:t>
      </w:r>
      <w:r w:rsidR="00E5666A" w:rsidRPr="00EC787E">
        <w:rPr>
          <w:rFonts w:ascii="Calibri" w:hAnsi="Calibri" w:cs="Calibri"/>
          <w:color w:val="000000"/>
        </w:rPr>
        <w:t>)</w:t>
      </w:r>
      <w:r w:rsidR="00E5666A">
        <w:rPr>
          <w:rFonts w:ascii="Calibri" w:hAnsi="Calibri" w:cs="Calibri"/>
          <w:color w:val="000000"/>
        </w:rPr>
        <w:t>, white (+</w:t>
      </w:r>
      <w:r w:rsidR="003A13C5">
        <w:rPr>
          <w:rFonts w:ascii="Calibri" w:hAnsi="Calibri" w:cs="Calibri"/>
          <w:color w:val="000000"/>
        </w:rPr>
        <w:t>31</w:t>
      </w:r>
      <w:r w:rsidR="00E5666A">
        <w:rPr>
          <w:rFonts w:ascii="Calibri" w:hAnsi="Calibri" w:cs="Calibri"/>
          <w:color w:val="000000"/>
        </w:rPr>
        <w:t xml:space="preserve">%), </w:t>
      </w:r>
      <w:r w:rsidR="00BE1C8F">
        <w:rPr>
          <w:rFonts w:ascii="Calibri" w:hAnsi="Calibri" w:cs="Calibri"/>
          <w:color w:val="000000"/>
        </w:rPr>
        <w:t>and multi-unit (+9%)</w:t>
      </w:r>
      <w:r w:rsidR="00E5666A" w:rsidRPr="00EC787E">
        <w:rPr>
          <w:rFonts w:ascii="Calibri" w:hAnsi="Calibri" w:cs="Calibri"/>
          <w:color w:val="000000"/>
        </w:rPr>
        <w:t>.</w:t>
      </w:r>
      <w:r w:rsidR="00BE1C8F">
        <w:rPr>
          <w:rFonts w:ascii="Calibri" w:hAnsi="Calibri" w:cs="Calibri"/>
          <w:color w:val="000000"/>
        </w:rPr>
        <w:t xml:space="preserve"> In addition to the int</w:t>
      </w:r>
      <w:r w:rsidR="00B44254">
        <w:rPr>
          <w:rFonts w:ascii="Calibri" w:hAnsi="Calibri" w:cs="Calibri"/>
          <w:color w:val="000000"/>
        </w:rPr>
        <w:t>ense</w:t>
      </w:r>
      <w:r w:rsidR="00BE1C8F">
        <w:rPr>
          <w:rFonts w:ascii="Calibri" w:hAnsi="Calibri" w:cs="Calibri"/>
          <w:color w:val="000000"/>
        </w:rPr>
        <w:t xml:space="preserve"> socioeconomic changes,</w:t>
      </w:r>
      <w:r w:rsidR="00B44254">
        <w:rPr>
          <w:rFonts w:ascii="Calibri" w:hAnsi="Calibri" w:cs="Calibri"/>
          <w:color w:val="000000"/>
        </w:rPr>
        <w:t xml:space="preserve"> the increase to</w:t>
      </w:r>
      <w:r w:rsidR="00BE1C8F">
        <w:rPr>
          <w:rFonts w:ascii="Calibri" w:hAnsi="Calibri" w:cs="Calibri"/>
          <w:color w:val="000000"/>
        </w:rPr>
        <w:t xml:space="preserve"> multi-uni</w:t>
      </w:r>
      <w:r w:rsidR="00B44254">
        <w:rPr>
          <w:rFonts w:ascii="Calibri" w:hAnsi="Calibri" w:cs="Calibri"/>
          <w:color w:val="000000"/>
        </w:rPr>
        <w:t>t dwellings</w:t>
      </w:r>
      <w:r w:rsidR="009D4CE6">
        <w:rPr>
          <w:rFonts w:ascii="Calibri" w:hAnsi="Calibri" w:cs="Calibri"/>
          <w:color w:val="000000"/>
        </w:rPr>
        <w:t xml:space="preserve"> (+9%)</w:t>
      </w:r>
      <w:r w:rsidR="00BE1C8F">
        <w:rPr>
          <w:rFonts w:ascii="Calibri" w:hAnsi="Calibri" w:cs="Calibri"/>
          <w:color w:val="000000"/>
        </w:rPr>
        <w:t xml:space="preserve"> indicate</w:t>
      </w:r>
      <w:r w:rsidR="00B44254">
        <w:rPr>
          <w:rFonts w:ascii="Calibri" w:hAnsi="Calibri" w:cs="Calibri"/>
          <w:color w:val="000000"/>
        </w:rPr>
        <w:t>s</w:t>
      </w:r>
      <w:r w:rsidR="00BE1C8F">
        <w:rPr>
          <w:rFonts w:ascii="Calibri" w:hAnsi="Calibri" w:cs="Calibri"/>
          <w:color w:val="000000"/>
        </w:rPr>
        <w:t xml:space="preserve"> </w:t>
      </w:r>
      <w:r w:rsidR="009D4CE6">
        <w:rPr>
          <w:rFonts w:ascii="Calibri" w:hAnsi="Calibri" w:cs="Calibri"/>
          <w:color w:val="000000"/>
        </w:rPr>
        <w:t>long-term</w:t>
      </w:r>
      <w:r w:rsidR="00B44254">
        <w:rPr>
          <w:rFonts w:ascii="Calibri" w:hAnsi="Calibri" w:cs="Calibri"/>
          <w:color w:val="000000"/>
        </w:rPr>
        <w:t xml:space="preserve"> changes to</w:t>
      </w:r>
      <w:r w:rsidR="00E5666A" w:rsidRPr="00EC787E">
        <w:rPr>
          <w:rFonts w:ascii="Calibri" w:hAnsi="Calibri" w:cs="Calibri"/>
          <w:color w:val="000000"/>
        </w:rPr>
        <w:t xml:space="preserve"> housing </w:t>
      </w:r>
      <w:r w:rsidR="00B44254">
        <w:rPr>
          <w:rFonts w:ascii="Calibri" w:hAnsi="Calibri" w:cs="Calibri"/>
          <w:color w:val="000000"/>
        </w:rPr>
        <w:t>options</w:t>
      </w:r>
      <w:r w:rsidR="00BB7984">
        <w:rPr>
          <w:rFonts w:ascii="Calibri" w:hAnsi="Calibri" w:cs="Calibri"/>
          <w:color w:val="000000"/>
        </w:rPr>
        <w:t xml:space="preserve">. This typology parallels many of the change characteristics of </w:t>
      </w:r>
      <w:r w:rsidR="003A13C5">
        <w:rPr>
          <w:rFonts w:ascii="Calibri" w:hAnsi="Calibri" w:cs="Calibri"/>
          <w:color w:val="000000"/>
        </w:rPr>
        <w:t xml:space="preserve">Cluster </w:t>
      </w:r>
      <w:r w:rsidR="00BB7984">
        <w:rPr>
          <w:rFonts w:ascii="Calibri" w:hAnsi="Calibri" w:cs="Calibri"/>
          <w:color w:val="000000"/>
        </w:rPr>
        <w:t>2, but at more extreme change rates</w:t>
      </w:r>
      <w:r w:rsidR="009D4CE6">
        <w:rPr>
          <w:rFonts w:ascii="Calibri" w:hAnsi="Calibri" w:cs="Calibri"/>
          <w:color w:val="000000"/>
        </w:rPr>
        <w:t xml:space="preserve"> and </w:t>
      </w:r>
      <w:r w:rsidR="003A13C5">
        <w:rPr>
          <w:rFonts w:ascii="Calibri" w:hAnsi="Calibri" w:cs="Calibri"/>
          <w:color w:val="000000"/>
        </w:rPr>
        <w:t xml:space="preserve">more socioeconomically vulnerable to start the millennium. </w:t>
      </w:r>
      <w:r w:rsidR="009D4CE6">
        <w:rPr>
          <w:rFonts w:ascii="Calibri" w:hAnsi="Calibri" w:cs="Calibri"/>
          <w:color w:val="000000"/>
        </w:rPr>
        <w:t>is considered an extreme example of gentrification, termed “Hyper-gentrification.”</w:t>
      </w:r>
      <w:r w:rsidR="003A13C5">
        <w:rPr>
          <w:rFonts w:ascii="Calibri" w:hAnsi="Calibri" w:cs="Calibri"/>
          <w:color w:val="000000"/>
        </w:rPr>
        <w:t xml:space="preserve"> Cluster 3 is differentiated from Cluster 2 by a high percentage of multi-unit dwellings both in absolute terms during 2000 and 2019, as well as relative change, posting a 9% increase.</w:t>
      </w:r>
    </w:p>
    <w:p w14:paraId="5D4A8251" w14:textId="0E76353F" w:rsidR="00044A7B" w:rsidRPr="009E185D" w:rsidRDefault="00044A7B" w:rsidP="0072217E">
      <w:pPr>
        <w:autoSpaceDE w:val="0"/>
        <w:autoSpaceDN w:val="0"/>
        <w:adjustRightInd w:val="0"/>
        <w:spacing w:after="0" w:line="240" w:lineRule="auto"/>
        <w:ind w:firstLine="720"/>
        <w:rPr>
          <w:rFonts w:ascii="Calibri" w:hAnsi="Calibri" w:cs="Calibri"/>
          <w:color w:val="000000"/>
          <w:sz w:val="20"/>
          <w:szCs w:val="20"/>
        </w:rPr>
      </w:pPr>
    </w:p>
    <w:p w14:paraId="240B9F61" w14:textId="41EAAB5C" w:rsidR="00044A7B" w:rsidRPr="009E185D" w:rsidRDefault="00044A7B" w:rsidP="00044A7B">
      <w:pPr>
        <w:pStyle w:val="Caption"/>
        <w:keepNext/>
        <w:jc w:val="center"/>
        <w:rPr>
          <w:sz w:val="20"/>
          <w:szCs w:val="20"/>
        </w:rPr>
      </w:pPr>
      <w:r w:rsidRPr="009E185D">
        <w:rPr>
          <w:sz w:val="20"/>
          <w:szCs w:val="20"/>
        </w:rPr>
        <w:t xml:space="preserve">Table </w:t>
      </w:r>
      <w:r w:rsidR="008E7477" w:rsidRPr="009E185D">
        <w:rPr>
          <w:sz w:val="20"/>
          <w:szCs w:val="20"/>
        </w:rPr>
        <w:fldChar w:fldCharType="begin"/>
      </w:r>
      <w:r w:rsidR="008E7477" w:rsidRPr="009E185D">
        <w:rPr>
          <w:sz w:val="20"/>
          <w:szCs w:val="20"/>
        </w:rPr>
        <w:instrText xml:space="preserve"> SEQ Table \* ARABIC </w:instrText>
      </w:r>
      <w:r w:rsidR="008E7477" w:rsidRPr="009E185D">
        <w:rPr>
          <w:sz w:val="20"/>
          <w:szCs w:val="20"/>
        </w:rPr>
        <w:fldChar w:fldCharType="separate"/>
      </w:r>
      <w:r w:rsidRPr="009E185D">
        <w:rPr>
          <w:noProof/>
          <w:sz w:val="20"/>
          <w:szCs w:val="20"/>
        </w:rPr>
        <w:t>6</w:t>
      </w:r>
      <w:r w:rsidR="008E7477" w:rsidRPr="009E185D">
        <w:rPr>
          <w:noProof/>
          <w:sz w:val="20"/>
          <w:szCs w:val="20"/>
        </w:rPr>
        <w:fldChar w:fldCharType="end"/>
      </w:r>
      <w:r w:rsidRPr="009E185D">
        <w:rPr>
          <w:sz w:val="20"/>
          <w:szCs w:val="20"/>
        </w:rPr>
        <w:t>. Cluster 3 summary statistics</w:t>
      </w:r>
    </w:p>
    <w:tbl>
      <w:tblPr>
        <w:tblW w:w="8540" w:type="dxa"/>
        <w:tblLook w:val="04A0" w:firstRow="1" w:lastRow="0" w:firstColumn="1" w:lastColumn="0" w:noHBand="0" w:noVBand="1"/>
      </w:tblPr>
      <w:tblGrid>
        <w:gridCol w:w="2440"/>
        <w:gridCol w:w="960"/>
        <w:gridCol w:w="976"/>
        <w:gridCol w:w="340"/>
        <w:gridCol w:w="931"/>
        <w:gridCol w:w="930"/>
        <w:gridCol w:w="1049"/>
        <w:gridCol w:w="930"/>
      </w:tblGrid>
      <w:tr w:rsidR="00D47A5D" w:rsidRPr="00D47A5D" w14:paraId="40F508AA" w14:textId="77777777" w:rsidTr="00D47A5D">
        <w:trPr>
          <w:trHeight w:val="288"/>
        </w:trPr>
        <w:tc>
          <w:tcPr>
            <w:tcW w:w="2440" w:type="dxa"/>
            <w:vMerge w:val="restart"/>
            <w:tcBorders>
              <w:top w:val="single" w:sz="4" w:space="0" w:color="auto"/>
              <w:left w:val="nil"/>
              <w:bottom w:val="single" w:sz="4" w:space="0" w:color="000000"/>
              <w:right w:val="nil"/>
            </w:tcBorders>
            <w:shd w:val="clear" w:color="000000" w:fill="FFFFFF"/>
            <w:noWrap/>
            <w:vAlign w:val="center"/>
            <w:hideMark/>
          </w:tcPr>
          <w:p w14:paraId="1AA28C0D"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Cluster 3 (n=2)</w:t>
            </w:r>
          </w:p>
        </w:tc>
        <w:tc>
          <w:tcPr>
            <w:tcW w:w="960" w:type="dxa"/>
            <w:tcBorders>
              <w:top w:val="single" w:sz="4" w:space="0" w:color="auto"/>
              <w:left w:val="nil"/>
              <w:bottom w:val="nil"/>
              <w:right w:val="nil"/>
            </w:tcBorders>
            <w:shd w:val="clear" w:color="000000" w:fill="FFFFFF"/>
            <w:noWrap/>
            <w:vAlign w:val="center"/>
            <w:hideMark/>
          </w:tcPr>
          <w:p w14:paraId="68E39BAC"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2000</w:t>
            </w:r>
          </w:p>
        </w:tc>
        <w:tc>
          <w:tcPr>
            <w:tcW w:w="960" w:type="dxa"/>
            <w:tcBorders>
              <w:top w:val="single" w:sz="4" w:space="0" w:color="auto"/>
              <w:left w:val="nil"/>
              <w:bottom w:val="nil"/>
              <w:right w:val="nil"/>
            </w:tcBorders>
            <w:shd w:val="clear" w:color="000000" w:fill="FFFFFF"/>
            <w:noWrap/>
            <w:vAlign w:val="center"/>
            <w:hideMark/>
          </w:tcPr>
          <w:p w14:paraId="7ED8043A"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2019</w:t>
            </w:r>
          </w:p>
        </w:tc>
        <w:tc>
          <w:tcPr>
            <w:tcW w:w="340" w:type="dxa"/>
            <w:tcBorders>
              <w:top w:val="single" w:sz="4" w:space="0" w:color="auto"/>
              <w:left w:val="nil"/>
              <w:bottom w:val="nil"/>
              <w:right w:val="nil"/>
            </w:tcBorders>
            <w:shd w:val="clear" w:color="000000" w:fill="FFFFFF"/>
            <w:noWrap/>
            <w:vAlign w:val="center"/>
            <w:hideMark/>
          </w:tcPr>
          <w:p w14:paraId="402710BE"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 </w:t>
            </w:r>
          </w:p>
        </w:tc>
        <w:tc>
          <w:tcPr>
            <w:tcW w:w="3840" w:type="dxa"/>
            <w:gridSpan w:val="4"/>
            <w:tcBorders>
              <w:top w:val="single" w:sz="4" w:space="0" w:color="auto"/>
              <w:left w:val="nil"/>
              <w:bottom w:val="nil"/>
              <w:right w:val="nil"/>
            </w:tcBorders>
            <w:shd w:val="clear" w:color="000000" w:fill="FFFFFF"/>
            <w:noWrap/>
            <w:vAlign w:val="center"/>
            <w:hideMark/>
          </w:tcPr>
          <w:p w14:paraId="35BA239D"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Percent Change</w:t>
            </w:r>
          </w:p>
        </w:tc>
      </w:tr>
      <w:tr w:rsidR="00D47A5D" w:rsidRPr="00D47A5D" w14:paraId="4E9EE87C" w14:textId="77777777" w:rsidTr="00D47A5D">
        <w:trPr>
          <w:trHeight w:val="288"/>
        </w:trPr>
        <w:tc>
          <w:tcPr>
            <w:tcW w:w="2440" w:type="dxa"/>
            <w:vMerge/>
            <w:tcBorders>
              <w:top w:val="single" w:sz="4" w:space="0" w:color="auto"/>
              <w:left w:val="nil"/>
              <w:bottom w:val="single" w:sz="4" w:space="0" w:color="000000"/>
              <w:right w:val="nil"/>
            </w:tcBorders>
            <w:vAlign w:val="center"/>
            <w:hideMark/>
          </w:tcPr>
          <w:p w14:paraId="135A384E" w14:textId="77777777" w:rsidR="00D47A5D" w:rsidRPr="00D47A5D" w:rsidRDefault="00D47A5D" w:rsidP="00D47A5D">
            <w:pPr>
              <w:spacing w:after="0" w:line="240" w:lineRule="auto"/>
              <w:rPr>
                <w:rFonts w:ascii="Calibri" w:eastAsia="Times New Roman" w:hAnsi="Calibri" w:cs="Calibri"/>
                <w:b/>
                <w:bCs/>
                <w:color w:val="000000"/>
                <w:sz w:val="20"/>
                <w:szCs w:val="20"/>
              </w:rPr>
            </w:pPr>
          </w:p>
        </w:tc>
        <w:tc>
          <w:tcPr>
            <w:tcW w:w="960" w:type="dxa"/>
            <w:tcBorders>
              <w:top w:val="nil"/>
              <w:left w:val="nil"/>
              <w:bottom w:val="single" w:sz="4" w:space="0" w:color="auto"/>
              <w:right w:val="nil"/>
            </w:tcBorders>
            <w:shd w:val="clear" w:color="000000" w:fill="FFFFFF"/>
            <w:noWrap/>
            <w:vAlign w:val="center"/>
            <w:hideMark/>
          </w:tcPr>
          <w:p w14:paraId="072EB3F3"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60" w:type="dxa"/>
            <w:tcBorders>
              <w:top w:val="nil"/>
              <w:left w:val="nil"/>
              <w:bottom w:val="single" w:sz="4" w:space="0" w:color="auto"/>
              <w:right w:val="nil"/>
            </w:tcBorders>
            <w:shd w:val="clear" w:color="000000" w:fill="FFFFFF"/>
            <w:noWrap/>
            <w:vAlign w:val="center"/>
            <w:hideMark/>
          </w:tcPr>
          <w:p w14:paraId="25BA19D1"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340" w:type="dxa"/>
            <w:tcBorders>
              <w:top w:val="nil"/>
              <w:left w:val="nil"/>
              <w:bottom w:val="single" w:sz="4" w:space="0" w:color="auto"/>
              <w:right w:val="nil"/>
            </w:tcBorders>
            <w:shd w:val="clear" w:color="000000" w:fill="FFFFFF"/>
            <w:noWrap/>
            <w:vAlign w:val="center"/>
            <w:hideMark/>
          </w:tcPr>
          <w:p w14:paraId="6F7D24AA"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 </w:t>
            </w:r>
          </w:p>
        </w:tc>
        <w:tc>
          <w:tcPr>
            <w:tcW w:w="931" w:type="dxa"/>
            <w:tcBorders>
              <w:top w:val="nil"/>
              <w:left w:val="nil"/>
              <w:bottom w:val="single" w:sz="4" w:space="0" w:color="auto"/>
              <w:right w:val="nil"/>
            </w:tcBorders>
            <w:shd w:val="clear" w:color="000000" w:fill="FFFFFF"/>
            <w:noWrap/>
            <w:vAlign w:val="center"/>
            <w:hideMark/>
          </w:tcPr>
          <w:p w14:paraId="2EF48160"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Mean</w:t>
            </w:r>
          </w:p>
        </w:tc>
        <w:tc>
          <w:tcPr>
            <w:tcW w:w="930" w:type="dxa"/>
            <w:tcBorders>
              <w:top w:val="nil"/>
              <w:left w:val="nil"/>
              <w:bottom w:val="single" w:sz="4" w:space="0" w:color="auto"/>
              <w:right w:val="nil"/>
            </w:tcBorders>
            <w:shd w:val="clear" w:color="000000" w:fill="FFFFFF"/>
            <w:noWrap/>
            <w:vAlign w:val="center"/>
            <w:hideMark/>
          </w:tcPr>
          <w:p w14:paraId="7513FDD6"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Min.</w:t>
            </w:r>
          </w:p>
        </w:tc>
        <w:tc>
          <w:tcPr>
            <w:tcW w:w="1049" w:type="dxa"/>
            <w:tcBorders>
              <w:top w:val="nil"/>
              <w:left w:val="nil"/>
              <w:bottom w:val="single" w:sz="4" w:space="0" w:color="auto"/>
              <w:right w:val="nil"/>
            </w:tcBorders>
            <w:shd w:val="clear" w:color="000000" w:fill="FFFFFF"/>
            <w:noWrap/>
            <w:vAlign w:val="center"/>
            <w:hideMark/>
          </w:tcPr>
          <w:p w14:paraId="1AFE0344"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30" w:type="dxa"/>
            <w:tcBorders>
              <w:top w:val="nil"/>
              <w:left w:val="nil"/>
              <w:bottom w:val="single" w:sz="4" w:space="0" w:color="auto"/>
              <w:right w:val="nil"/>
            </w:tcBorders>
            <w:shd w:val="clear" w:color="000000" w:fill="FFFFFF"/>
            <w:noWrap/>
            <w:vAlign w:val="center"/>
            <w:hideMark/>
          </w:tcPr>
          <w:p w14:paraId="1DCFF962"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Max.</w:t>
            </w:r>
          </w:p>
        </w:tc>
      </w:tr>
      <w:tr w:rsidR="00D47A5D" w:rsidRPr="00D47A5D" w14:paraId="5ADDA28E" w14:textId="77777777" w:rsidTr="00D47A5D">
        <w:trPr>
          <w:trHeight w:val="288"/>
        </w:trPr>
        <w:tc>
          <w:tcPr>
            <w:tcW w:w="2440" w:type="dxa"/>
            <w:tcBorders>
              <w:top w:val="nil"/>
              <w:left w:val="nil"/>
              <w:bottom w:val="nil"/>
              <w:right w:val="nil"/>
            </w:tcBorders>
            <w:shd w:val="clear" w:color="000000" w:fill="FFFFFF"/>
            <w:noWrap/>
            <w:vAlign w:val="bottom"/>
            <w:hideMark/>
          </w:tcPr>
          <w:p w14:paraId="4149CC9E"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473B8EA2"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52DBB065"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340" w:type="dxa"/>
            <w:tcBorders>
              <w:top w:val="nil"/>
              <w:left w:val="nil"/>
              <w:bottom w:val="nil"/>
              <w:right w:val="nil"/>
            </w:tcBorders>
            <w:shd w:val="clear" w:color="000000" w:fill="FFFFFF"/>
            <w:noWrap/>
            <w:vAlign w:val="bottom"/>
            <w:hideMark/>
          </w:tcPr>
          <w:p w14:paraId="510B00D6"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1" w:type="dxa"/>
            <w:tcBorders>
              <w:top w:val="nil"/>
              <w:left w:val="nil"/>
              <w:bottom w:val="nil"/>
              <w:right w:val="nil"/>
            </w:tcBorders>
            <w:shd w:val="clear" w:color="000000" w:fill="FFFFFF"/>
            <w:noWrap/>
            <w:vAlign w:val="bottom"/>
            <w:hideMark/>
          </w:tcPr>
          <w:p w14:paraId="2E2BEC08"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0" w:type="dxa"/>
            <w:tcBorders>
              <w:top w:val="nil"/>
              <w:left w:val="nil"/>
              <w:bottom w:val="nil"/>
              <w:right w:val="nil"/>
            </w:tcBorders>
            <w:shd w:val="clear" w:color="000000" w:fill="FFFFFF"/>
            <w:noWrap/>
            <w:vAlign w:val="bottom"/>
            <w:hideMark/>
          </w:tcPr>
          <w:p w14:paraId="660AC406"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1049" w:type="dxa"/>
            <w:tcBorders>
              <w:top w:val="nil"/>
              <w:left w:val="nil"/>
              <w:bottom w:val="nil"/>
              <w:right w:val="nil"/>
            </w:tcBorders>
            <w:shd w:val="clear" w:color="000000" w:fill="FFFFFF"/>
            <w:noWrap/>
            <w:vAlign w:val="bottom"/>
            <w:hideMark/>
          </w:tcPr>
          <w:p w14:paraId="460F0135"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0" w:type="dxa"/>
            <w:tcBorders>
              <w:top w:val="nil"/>
              <w:left w:val="nil"/>
              <w:bottom w:val="nil"/>
              <w:right w:val="nil"/>
            </w:tcBorders>
            <w:shd w:val="clear" w:color="000000" w:fill="FFFFFF"/>
            <w:noWrap/>
            <w:vAlign w:val="bottom"/>
            <w:hideMark/>
          </w:tcPr>
          <w:p w14:paraId="48AE1EBA"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r>
      <w:tr w:rsidR="00D47A5D" w:rsidRPr="00D47A5D" w14:paraId="4E4E0EE9" w14:textId="77777777" w:rsidTr="00D47A5D">
        <w:trPr>
          <w:trHeight w:val="288"/>
        </w:trPr>
        <w:tc>
          <w:tcPr>
            <w:tcW w:w="2440" w:type="dxa"/>
            <w:tcBorders>
              <w:top w:val="nil"/>
              <w:left w:val="nil"/>
              <w:bottom w:val="nil"/>
              <w:right w:val="nil"/>
            </w:tcBorders>
            <w:shd w:val="clear" w:color="000000" w:fill="FFFFFF"/>
            <w:noWrap/>
            <w:vAlign w:val="bottom"/>
            <w:hideMark/>
          </w:tcPr>
          <w:p w14:paraId="03B20B64"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Home Value</w:t>
            </w:r>
          </w:p>
        </w:tc>
        <w:tc>
          <w:tcPr>
            <w:tcW w:w="960" w:type="dxa"/>
            <w:tcBorders>
              <w:top w:val="nil"/>
              <w:left w:val="nil"/>
              <w:bottom w:val="nil"/>
              <w:right w:val="nil"/>
            </w:tcBorders>
            <w:shd w:val="clear" w:color="000000" w:fill="FFFFFF"/>
            <w:noWrap/>
            <w:vAlign w:val="center"/>
            <w:hideMark/>
          </w:tcPr>
          <w:p w14:paraId="606B9AB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$76,719</w:t>
            </w:r>
          </w:p>
        </w:tc>
        <w:tc>
          <w:tcPr>
            <w:tcW w:w="960" w:type="dxa"/>
            <w:tcBorders>
              <w:top w:val="nil"/>
              <w:left w:val="nil"/>
              <w:bottom w:val="nil"/>
              <w:right w:val="nil"/>
            </w:tcBorders>
            <w:shd w:val="clear" w:color="000000" w:fill="FFFFFF"/>
            <w:noWrap/>
            <w:vAlign w:val="center"/>
            <w:hideMark/>
          </w:tcPr>
          <w:p w14:paraId="1B1B892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$283,050</w:t>
            </w:r>
          </w:p>
        </w:tc>
        <w:tc>
          <w:tcPr>
            <w:tcW w:w="340" w:type="dxa"/>
            <w:tcBorders>
              <w:top w:val="nil"/>
              <w:left w:val="nil"/>
              <w:bottom w:val="nil"/>
              <w:right w:val="nil"/>
            </w:tcBorders>
            <w:shd w:val="clear" w:color="000000" w:fill="FFFFFF"/>
            <w:noWrap/>
            <w:vAlign w:val="center"/>
            <w:hideMark/>
          </w:tcPr>
          <w:p w14:paraId="0A6A07E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1" w:type="dxa"/>
            <w:tcBorders>
              <w:top w:val="nil"/>
              <w:left w:val="nil"/>
              <w:bottom w:val="nil"/>
              <w:right w:val="nil"/>
            </w:tcBorders>
            <w:shd w:val="clear" w:color="000000" w:fill="FFFFFF"/>
            <w:noWrap/>
            <w:vAlign w:val="center"/>
            <w:hideMark/>
          </w:tcPr>
          <w:p w14:paraId="20BE9F4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+262%</w:t>
            </w:r>
          </w:p>
        </w:tc>
        <w:tc>
          <w:tcPr>
            <w:tcW w:w="930" w:type="dxa"/>
            <w:tcBorders>
              <w:top w:val="nil"/>
              <w:left w:val="nil"/>
              <w:bottom w:val="nil"/>
              <w:right w:val="nil"/>
            </w:tcBorders>
            <w:shd w:val="clear" w:color="000000" w:fill="FFFFFF"/>
            <w:noWrap/>
            <w:vAlign w:val="center"/>
            <w:hideMark/>
          </w:tcPr>
          <w:p w14:paraId="4BF16FF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+215%</w:t>
            </w:r>
          </w:p>
        </w:tc>
        <w:tc>
          <w:tcPr>
            <w:tcW w:w="1049" w:type="dxa"/>
            <w:tcBorders>
              <w:top w:val="nil"/>
              <w:left w:val="nil"/>
              <w:bottom w:val="nil"/>
              <w:right w:val="nil"/>
            </w:tcBorders>
            <w:shd w:val="clear" w:color="000000" w:fill="FFFFFF"/>
            <w:noWrap/>
            <w:vAlign w:val="center"/>
            <w:hideMark/>
          </w:tcPr>
          <w:p w14:paraId="086206C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+262%</w:t>
            </w:r>
          </w:p>
        </w:tc>
        <w:tc>
          <w:tcPr>
            <w:tcW w:w="930" w:type="dxa"/>
            <w:tcBorders>
              <w:top w:val="nil"/>
              <w:left w:val="nil"/>
              <w:bottom w:val="nil"/>
              <w:right w:val="nil"/>
            </w:tcBorders>
            <w:shd w:val="clear" w:color="000000" w:fill="FFFFFF"/>
            <w:noWrap/>
            <w:vAlign w:val="center"/>
            <w:hideMark/>
          </w:tcPr>
          <w:p w14:paraId="33AB50F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+310%</w:t>
            </w:r>
          </w:p>
        </w:tc>
      </w:tr>
      <w:tr w:rsidR="00D47A5D" w:rsidRPr="00D47A5D" w14:paraId="459F4874" w14:textId="77777777" w:rsidTr="00D47A5D">
        <w:trPr>
          <w:trHeight w:val="288"/>
        </w:trPr>
        <w:tc>
          <w:tcPr>
            <w:tcW w:w="2440" w:type="dxa"/>
            <w:tcBorders>
              <w:top w:val="nil"/>
              <w:left w:val="nil"/>
              <w:bottom w:val="nil"/>
              <w:right w:val="nil"/>
            </w:tcBorders>
            <w:shd w:val="clear" w:color="000000" w:fill="FFFFFF"/>
            <w:noWrap/>
            <w:vAlign w:val="bottom"/>
            <w:hideMark/>
          </w:tcPr>
          <w:p w14:paraId="239EF22A"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Rent Value</w:t>
            </w:r>
          </w:p>
        </w:tc>
        <w:tc>
          <w:tcPr>
            <w:tcW w:w="960" w:type="dxa"/>
            <w:tcBorders>
              <w:top w:val="nil"/>
              <w:left w:val="nil"/>
              <w:bottom w:val="nil"/>
              <w:right w:val="nil"/>
            </w:tcBorders>
            <w:shd w:val="clear" w:color="000000" w:fill="FFFFFF"/>
            <w:noWrap/>
            <w:vAlign w:val="center"/>
            <w:hideMark/>
          </w:tcPr>
          <w:p w14:paraId="23BCEFD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$427</w:t>
            </w:r>
          </w:p>
        </w:tc>
        <w:tc>
          <w:tcPr>
            <w:tcW w:w="960" w:type="dxa"/>
            <w:tcBorders>
              <w:top w:val="nil"/>
              <w:left w:val="nil"/>
              <w:bottom w:val="nil"/>
              <w:right w:val="nil"/>
            </w:tcBorders>
            <w:shd w:val="clear" w:color="000000" w:fill="FFFFFF"/>
            <w:noWrap/>
            <w:vAlign w:val="center"/>
            <w:hideMark/>
          </w:tcPr>
          <w:p w14:paraId="224A59A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$1,376</w:t>
            </w:r>
          </w:p>
        </w:tc>
        <w:tc>
          <w:tcPr>
            <w:tcW w:w="340" w:type="dxa"/>
            <w:tcBorders>
              <w:top w:val="nil"/>
              <w:left w:val="nil"/>
              <w:bottom w:val="nil"/>
              <w:right w:val="nil"/>
            </w:tcBorders>
            <w:shd w:val="clear" w:color="000000" w:fill="FFFFFF"/>
            <w:noWrap/>
            <w:vAlign w:val="center"/>
            <w:hideMark/>
          </w:tcPr>
          <w:p w14:paraId="195F601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1" w:type="dxa"/>
            <w:tcBorders>
              <w:top w:val="nil"/>
              <w:left w:val="nil"/>
              <w:bottom w:val="nil"/>
              <w:right w:val="nil"/>
            </w:tcBorders>
            <w:shd w:val="clear" w:color="000000" w:fill="FFFFFF"/>
            <w:noWrap/>
            <w:vAlign w:val="center"/>
            <w:hideMark/>
          </w:tcPr>
          <w:p w14:paraId="7AF66A8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+244%</w:t>
            </w:r>
          </w:p>
        </w:tc>
        <w:tc>
          <w:tcPr>
            <w:tcW w:w="930" w:type="dxa"/>
            <w:tcBorders>
              <w:top w:val="nil"/>
              <w:left w:val="nil"/>
              <w:bottom w:val="nil"/>
              <w:right w:val="nil"/>
            </w:tcBorders>
            <w:shd w:val="clear" w:color="000000" w:fill="FFFFFF"/>
            <w:noWrap/>
            <w:vAlign w:val="center"/>
            <w:hideMark/>
          </w:tcPr>
          <w:p w14:paraId="5A61E03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+182%</w:t>
            </w:r>
          </w:p>
        </w:tc>
        <w:tc>
          <w:tcPr>
            <w:tcW w:w="1049" w:type="dxa"/>
            <w:tcBorders>
              <w:top w:val="nil"/>
              <w:left w:val="nil"/>
              <w:bottom w:val="nil"/>
              <w:right w:val="nil"/>
            </w:tcBorders>
            <w:shd w:val="clear" w:color="000000" w:fill="FFFFFF"/>
            <w:noWrap/>
            <w:vAlign w:val="center"/>
            <w:hideMark/>
          </w:tcPr>
          <w:p w14:paraId="77E44F4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+244%</w:t>
            </w:r>
          </w:p>
        </w:tc>
        <w:tc>
          <w:tcPr>
            <w:tcW w:w="930" w:type="dxa"/>
            <w:tcBorders>
              <w:top w:val="nil"/>
              <w:left w:val="nil"/>
              <w:bottom w:val="nil"/>
              <w:right w:val="nil"/>
            </w:tcBorders>
            <w:shd w:val="clear" w:color="000000" w:fill="FFFFFF"/>
            <w:noWrap/>
            <w:vAlign w:val="center"/>
            <w:hideMark/>
          </w:tcPr>
          <w:p w14:paraId="0CC3910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+306%</w:t>
            </w:r>
          </w:p>
        </w:tc>
      </w:tr>
      <w:tr w:rsidR="00D47A5D" w:rsidRPr="00D47A5D" w14:paraId="0AAACBBC" w14:textId="77777777" w:rsidTr="00D47A5D">
        <w:trPr>
          <w:trHeight w:val="288"/>
        </w:trPr>
        <w:tc>
          <w:tcPr>
            <w:tcW w:w="2440" w:type="dxa"/>
            <w:tcBorders>
              <w:top w:val="nil"/>
              <w:left w:val="nil"/>
              <w:bottom w:val="nil"/>
              <w:right w:val="nil"/>
            </w:tcBorders>
            <w:shd w:val="clear" w:color="000000" w:fill="FFFFFF"/>
            <w:noWrap/>
            <w:vAlign w:val="bottom"/>
            <w:hideMark/>
          </w:tcPr>
          <w:p w14:paraId="0AAB699A"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Household Income</w:t>
            </w:r>
          </w:p>
        </w:tc>
        <w:tc>
          <w:tcPr>
            <w:tcW w:w="960" w:type="dxa"/>
            <w:tcBorders>
              <w:top w:val="nil"/>
              <w:left w:val="nil"/>
              <w:bottom w:val="nil"/>
              <w:right w:val="nil"/>
            </w:tcBorders>
            <w:shd w:val="clear" w:color="000000" w:fill="FFFFFF"/>
            <w:noWrap/>
            <w:vAlign w:val="center"/>
            <w:hideMark/>
          </w:tcPr>
          <w:p w14:paraId="6CFEFC2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$18,599</w:t>
            </w:r>
          </w:p>
        </w:tc>
        <w:tc>
          <w:tcPr>
            <w:tcW w:w="960" w:type="dxa"/>
            <w:tcBorders>
              <w:top w:val="nil"/>
              <w:left w:val="nil"/>
              <w:bottom w:val="nil"/>
              <w:right w:val="nil"/>
            </w:tcBorders>
            <w:shd w:val="clear" w:color="000000" w:fill="FFFFFF"/>
            <w:noWrap/>
            <w:vAlign w:val="center"/>
            <w:hideMark/>
          </w:tcPr>
          <w:p w14:paraId="0D1C61C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$61,948</w:t>
            </w:r>
          </w:p>
        </w:tc>
        <w:tc>
          <w:tcPr>
            <w:tcW w:w="340" w:type="dxa"/>
            <w:tcBorders>
              <w:top w:val="nil"/>
              <w:left w:val="nil"/>
              <w:bottom w:val="nil"/>
              <w:right w:val="nil"/>
            </w:tcBorders>
            <w:shd w:val="clear" w:color="000000" w:fill="FFFFFF"/>
            <w:noWrap/>
            <w:vAlign w:val="center"/>
            <w:hideMark/>
          </w:tcPr>
          <w:p w14:paraId="14DEC6B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1" w:type="dxa"/>
            <w:tcBorders>
              <w:top w:val="nil"/>
              <w:left w:val="nil"/>
              <w:bottom w:val="nil"/>
              <w:right w:val="nil"/>
            </w:tcBorders>
            <w:shd w:val="clear" w:color="000000" w:fill="FFFFFF"/>
            <w:noWrap/>
            <w:vAlign w:val="center"/>
            <w:hideMark/>
          </w:tcPr>
          <w:p w14:paraId="417A044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+244%</w:t>
            </w:r>
          </w:p>
        </w:tc>
        <w:tc>
          <w:tcPr>
            <w:tcW w:w="930" w:type="dxa"/>
            <w:tcBorders>
              <w:top w:val="nil"/>
              <w:left w:val="nil"/>
              <w:bottom w:val="nil"/>
              <w:right w:val="nil"/>
            </w:tcBorders>
            <w:shd w:val="clear" w:color="000000" w:fill="FFFFFF"/>
            <w:noWrap/>
            <w:vAlign w:val="center"/>
            <w:hideMark/>
          </w:tcPr>
          <w:p w14:paraId="0103725D"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+216%</w:t>
            </w:r>
          </w:p>
        </w:tc>
        <w:tc>
          <w:tcPr>
            <w:tcW w:w="1049" w:type="dxa"/>
            <w:tcBorders>
              <w:top w:val="nil"/>
              <w:left w:val="nil"/>
              <w:bottom w:val="nil"/>
              <w:right w:val="nil"/>
            </w:tcBorders>
            <w:shd w:val="clear" w:color="000000" w:fill="FFFFFF"/>
            <w:noWrap/>
            <w:vAlign w:val="center"/>
            <w:hideMark/>
          </w:tcPr>
          <w:p w14:paraId="7C47075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+244%</w:t>
            </w:r>
          </w:p>
        </w:tc>
        <w:tc>
          <w:tcPr>
            <w:tcW w:w="930" w:type="dxa"/>
            <w:tcBorders>
              <w:top w:val="nil"/>
              <w:left w:val="nil"/>
              <w:bottom w:val="nil"/>
              <w:right w:val="nil"/>
            </w:tcBorders>
            <w:shd w:val="clear" w:color="000000" w:fill="FFFFFF"/>
            <w:noWrap/>
            <w:vAlign w:val="center"/>
            <w:hideMark/>
          </w:tcPr>
          <w:p w14:paraId="4BF17F3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+272%</w:t>
            </w:r>
          </w:p>
        </w:tc>
      </w:tr>
      <w:tr w:rsidR="00D47A5D" w:rsidRPr="00D47A5D" w14:paraId="55B83EA8" w14:textId="77777777" w:rsidTr="00D47A5D">
        <w:trPr>
          <w:trHeight w:val="288"/>
        </w:trPr>
        <w:tc>
          <w:tcPr>
            <w:tcW w:w="2440" w:type="dxa"/>
            <w:tcBorders>
              <w:top w:val="nil"/>
              <w:left w:val="nil"/>
              <w:bottom w:val="nil"/>
              <w:right w:val="nil"/>
            </w:tcBorders>
            <w:shd w:val="clear" w:color="000000" w:fill="FFFFFF"/>
            <w:noWrap/>
            <w:vAlign w:val="bottom"/>
            <w:hideMark/>
          </w:tcPr>
          <w:p w14:paraId="5556A1D8"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College Degree</w:t>
            </w:r>
          </w:p>
        </w:tc>
        <w:tc>
          <w:tcPr>
            <w:tcW w:w="960" w:type="dxa"/>
            <w:tcBorders>
              <w:top w:val="nil"/>
              <w:left w:val="nil"/>
              <w:bottom w:val="nil"/>
              <w:right w:val="nil"/>
            </w:tcBorders>
            <w:shd w:val="clear" w:color="000000" w:fill="FFFFFF"/>
            <w:noWrap/>
            <w:vAlign w:val="center"/>
            <w:hideMark/>
          </w:tcPr>
          <w:p w14:paraId="778BBE4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12%</w:t>
            </w:r>
          </w:p>
        </w:tc>
        <w:tc>
          <w:tcPr>
            <w:tcW w:w="960" w:type="dxa"/>
            <w:tcBorders>
              <w:top w:val="nil"/>
              <w:left w:val="nil"/>
              <w:bottom w:val="nil"/>
              <w:right w:val="nil"/>
            </w:tcBorders>
            <w:shd w:val="clear" w:color="000000" w:fill="FFFFFF"/>
            <w:noWrap/>
            <w:vAlign w:val="center"/>
            <w:hideMark/>
          </w:tcPr>
          <w:p w14:paraId="471059D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57%</w:t>
            </w:r>
          </w:p>
        </w:tc>
        <w:tc>
          <w:tcPr>
            <w:tcW w:w="340" w:type="dxa"/>
            <w:tcBorders>
              <w:top w:val="nil"/>
              <w:left w:val="nil"/>
              <w:bottom w:val="nil"/>
              <w:right w:val="nil"/>
            </w:tcBorders>
            <w:shd w:val="clear" w:color="000000" w:fill="FFFFFF"/>
            <w:noWrap/>
            <w:vAlign w:val="center"/>
            <w:hideMark/>
          </w:tcPr>
          <w:p w14:paraId="5953DDE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1" w:type="dxa"/>
            <w:tcBorders>
              <w:top w:val="nil"/>
              <w:left w:val="nil"/>
              <w:bottom w:val="nil"/>
              <w:right w:val="nil"/>
            </w:tcBorders>
            <w:shd w:val="clear" w:color="000000" w:fill="FFFFFF"/>
            <w:noWrap/>
            <w:vAlign w:val="center"/>
            <w:hideMark/>
          </w:tcPr>
          <w:p w14:paraId="0175D63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+45%</w:t>
            </w:r>
          </w:p>
        </w:tc>
        <w:tc>
          <w:tcPr>
            <w:tcW w:w="930" w:type="dxa"/>
            <w:tcBorders>
              <w:top w:val="nil"/>
              <w:left w:val="nil"/>
              <w:bottom w:val="nil"/>
              <w:right w:val="nil"/>
            </w:tcBorders>
            <w:shd w:val="clear" w:color="000000" w:fill="FFFFFF"/>
            <w:noWrap/>
            <w:vAlign w:val="center"/>
            <w:hideMark/>
          </w:tcPr>
          <w:p w14:paraId="20A7E54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+31%</w:t>
            </w:r>
          </w:p>
        </w:tc>
        <w:tc>
          <w:tcPr>
            <w:tcW w:w="1049" w:type="dxa"/>
            <w:tcBorders>
              <w:top w:val="nil"/>
              <w:left w:val="nil"/>
              <w:bottom w:val="nil"/>
              <w:right w:val="nil"/>
            </w:tcBorders>
            <w:shd w:val="clear" w:color="000000" w:fill="FFFFFF"/>
            <w:noWrap/>
            <w:vAlign w:val="center"/>
            <w:hideMark/>
          </w:tcPr>
          <w:p w14:paraId="6412D05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+45%</w:t>
            </w:r>
          </w:p>
        </w:tc>
        <w:tc>
          <w:tcPr>
            <w:tcW w:w="930" w:type="dxa"/>
            <w:tcBorders>
              <w:top w:val="nil"/>
              <w:left w:val="nil"/>
              <w:bottom w:val="nil"/>
              <w:right w:val="nil"/>
            </w:tcBorders>
            <w:shd w:val="clear" w:color="000000" w:fill="FFFFFF"/>
            <w:noWrap/>
            <w:vAlign w:val="center"/>
            <w:hideMark/>
          </w:tcPr>
          <w:p w14:paraId="40CEB9B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+59%</w:t>
            </w:r>
          </w:p>
        </w:tc>
      </w:tr>
      <w:tr w:rsidR="00D47A5D" w:rsidRPr="00D47A5D" w14:paraId="3E9015B8" w14:textId="77777777" w:rsidTr="00D47A5D">
        <w:trPr>
          <w:trHeight w:val="288"/>
        </w:trPr>
        <w:tc>
          <w:tcPr>
            <w:tcW w:w="2440" w:type="dxa"/>
            <w:tcBorders>
              <w:top w:val="nil"/>
              <w:left w:val="nil"/>
              <w:bottom w:val="nil"/>
              <w:right w:val="nil"/>
            </w:tcBorders>
            <w:shd w:val="clear" w:color="000000" w:fill="FFFFFF"/>
            <w:noWrap/>
            <w:vAlign w:val="bottom"/>
            <w:hideMark/>
          </w:tcPr>
          <w:p w14:paraId="18489950"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Multi-Unit Housing</w:t>
            </w:r>
          </w:p>
        </w:tc>
        <w:tc>
          <w:tcPr>
            <w:tcW w:w="960" w:type="dxa"/>
            <w:tcBorders>
              <w:top w:val="nil"/>
              <w:left w:val="nil"/>
              <w:bottom w:val="nil"/>
              <w:right w:val="nil"/>
            </w:tcBorders>
            <w:shd w:val="clear" w:color="000000" w:fill="FFFFFF"/>
            <w:noWrap/>
            <w:vAlign w:val="center"/>
            <w:hideMark/>
          </w:tcPr>
          <w:p w14:paraId="342E433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73%</w:t>
            </w:r>
          </w:p>
        </w:tc>
        <w:tc>
          <w:tcPr>
            <w:tcW w:w="960" w:type="dxa"/>
            <w:tcBorders>
              <w:top w:val="nil"/>
              <w:left w:val="nil"/>
              <w:bottom w:val="nil"/>
              <w:right w:val="nil"/>
            </w:tcBorders>
            <w:shd w:val="clear" w:color="000000" w:fill="FFFFFF"/>
            <w:noWrap/>
            <w:vAlign w:val="center"/>
            <w:hideMark/>
          </w:tcPr>
          <w:p w14:paraId="6DD574D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81%</w:t>
            </w:r>
          </w:p>
        </w:tc>
        <w:tc>
          <w:tcPr>
            <w:tcW w:w="340" w:type="dxa"/>
            <w:tcBorders>
              <w:top w:val="nil"/>
              <w:left w:val="nil"/>
              <w:bottom w:val="nil"/>
              <w:right w:val="nil"/>
            </w:tcBorders>
            <w:shd w:val="clear" w:color="000000" w:fill="FFFFFF"/>
            <w:noWrap/>
            <w:vAlign w:val="center"/>
            <w:hideMark/>
          </w:tcPr>
          <w:p w14:paraId="30EF359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1" w:type="dxa"/>
            <w:tcBorders>
              <w:top w:val="nil"/>
              <w:left w:val="nil"/>
              <w:bottom w:val="nil"/>
              <w:right w:val="nil"/>
            </w:tcBorders>
            <w:shd w:val="clear" w:color="000000" w:fill="FFFFFF"/>
            <w:noWrap/>
            <w:vAlign w:val="center"/>
            <w:hideMark/>
          </w:tcPr>
          <w:p w14:paraId="63E8B12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+9%</w:t>
            </w:r>
          </w:p>
        </w:tc>
        <w:tc>
          <w:tcPr>
            <w:tcW w:w="930" w:type="dxa"/>
            <w:tcBorders>
              <w:top w:val="nil"/>
              <w:left w:val="nil"/>
              <w:bottom w:val="nil"/>
              <w:right w:val="nil"/>
            </w:tcBorders>
            <w:shd w:val="clear" w:color="000000" w:fill="FFFFFF"/>
            <w:noWrap/>
            <w:vAlign w:val="center"/>
            <w:hideMark/>
          </w:tcPr>
          <w:p w14:paraId="70E145A9" w14:textId="19351CF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0%</w:t>
            </w:r>
          </w:p>
        </w:tc>
        <w:tc>
          <w:tcPr>
            <w:tcW w:w="1049" w:type="dxa"/>
            <w:tcBorders>
              <w:top w:val="nil"/>
              <w:left w:val="nil"/>
              <w:bottom w:val="nil"/>
              <w:right w:val="nil"/>
            </w:tcBorders>
            <w:shd w:val="clear" w:color="000000" w:fill="FFFFFF"/>
            <w:noWrap/>
            <w:vAlign w:val="center"/>
            <w:hideMark/>
          </w:tcPr>
          <w:p w14:paraId="0D3A677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+9%</w:t>
            </w:r>
          </w:p>
        </w:tc>
        <w:tc>
          <w:tcPr>
            <w:tcW w:w="930" w:type="dxa"/>
            <w:tcBorders>
              <w:top w:val="nil"/>
              <w:left w:val="nil"/>
              <w:bottom w:val="nil"/>
              <w:right w:val="nil"/>
            </w:tcBorders>
            <w:shd w:val="clear" w:color="000000" w:fill="FFFFFF"/>
            <w:noWrap/>
            <w:vAlign w:val="center"/>
            <w:hideMark/>
          </w:tcPr>
          <w:p w14:paraId="149F4E6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+18%</w:t>
            </w:r>
          </w:p>
        </w:tc>
      </w:tr>
      <w:tr w:rsidR="00D47A5D" w:rsidRPr="00D47A5D" w14:paraId="7094F365" w14:textId="77777777" w:rsidTr="00D47A5D">
        <w:trPr>
          <w:trHeight w:val="288"/>
        </w:trPr>
        <w:tc>
          <w:tcPr>
            <w:tcW w:w="2440" w:type="dxa"/>
            <w:tcBorders>
              <w:top w:val="nil"/>
              <w:left w:val="nil"/>
              <w:bottom w:val="single" w:sz="4" w:space="0" w:color="auto"/>
              <w:right w:val="nil"/>
            </w:tcBorders>
            <w:shd w:val="clear" w:color="000000" w:fill="FFFFFF"/>
            <w:noWrap/>
            <w:vAlign w:val="bottom"/>
            <w:hideMark/>
          </w:tcPr>
          <w:p w14:paraId="389E0C2F"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White</w:t>
            </w:r>
          </w:p>
        </w:tc>
        <w:tc>
          <w:tcPr>
            <w:tcW w:w="960" w:type="dxa"/>
            <w:tcBorders>
              <w:top w:val="nil"/>
              <w:left w:val="nil"/>
              <w:bottom w:val="single" w:sz="4" w:space="0" w:color="auto"/>
              <w:right w:val="nil"/>
            </w:tcBorders>
            <w:shd w:val="clear" w:color="000000" w:fill="FFFFFF"/>
            <w:noWrap/>
            <w:vAlign w:val="center"/>
            <w:hideMark/>
          </w:tcPr>
          <w:p w14:paraId="224646D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16%</w:t>
            </w:r>
          </w:p>
        </w:tc>
        <w:tc>
          <w:tcPr>
            <w:tcW w:w="960" w:type="dxa"/>
            <w:tcBorders>
              <w:top w:val="nil"/>
              <w:left w:val="nil"/>
              <w:bottom w:val="single" w:sz="4" w:space="0" w:color="auto"/>
              <w:right w:val="nil"/>
            </w:tcBorders>
            <w:shd w:val="clear" w:color="000000" w:fill="FFFFFF"/>
            <w:noWrap/>
            <w:vAlign w:val="center"/>
            <w:hideMark/>
          </w:tcPr>
          <w:p w14:paraId="7D18387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47%</w:t>
            </w:r>
          </w:p>
        </w:tc>
        <w:tc>
          <w:tcPr>
            <w:tcW w:w="340" w:type="dxa"/>
            <w:tcBorders>
              <w:top w:val="nil"/>
              <w:left w:val="nil"/>
              <w:bottom w:val="single" w:sz="4" w:space="0" w:color="auto"/>
              <w:right w:val="nil"/>
            </w:tcBorders>
            <w:shd w:val="clear" w:color="000000" w:fill="FFFFFF"/>
            <w:noWrap/>
            <w:vAlign w:val="center"/>
            <w:hideMark/>
          </w:tcPr>
          <w:p w14:paraId="253AF3F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31" w:type="dxa"/>
            <w:tcBorders>
              <w:top w:val="nil"/>
              <w:left w:val="nil"/>
              <w:bottom w:val="single" w:sz="4" w:space="0" w:color="auto"/>
              <w:right w:val="nil"/>
            </w:tcBorders>
            <w:shd w:val="clear" w:color="000000" w:fill="FFFFFF"/>
            <w:noWrap/>
            <w:vAlign w:val="center"/>
            <w:hideMark/>
          </w:tcPr>
          <w:p w14:paraId="61AE103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+31%</w:t>
            </w:r>
          </w:p>
        </w:tc>
        <w:tc>
          <w:tcPr>
            <w:tcW w:w="930" w:type="dxa"/>
            <w:tcBorders>
              <w:top w:val="nil"/>
              <w:left w:val="nil"/>
              <w:bottom w:val="single" w:sz="4" w:space="0" w:color="auto"/>
              <w:right w:val="nil"/>
            </w:tcBorders>
            <w:shd w:val="clear" w:color="000000" w:fill="FFFFFF"/>
            <w:noWrap/>
            <w:vAlign w:val="center"/>
            <w:hideMark/>
          </w:tcPr>
          <w:p w14:paraId="6DAFE9E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w:t>
            </w:r>
          </w:p>
        </w:tc>
        <w:tc>
          <w:tcPr>
            <w:tcW w:w="1049" w:type="dxa"/>
            <w:tcBorders>
              <w:top w:val="nil"/>
              <w:left w:val="nil"/>
              <w:bottom w:val="single" w:sz="4" w:space="0" w:color="auto"/>
              <w:right w:val="nil"/>
            </w:tcBorders>
            <w:shd w:val="clear" w:color="000000" w:fill="FFFFFF"/>
            <w:noWrap/>
            <w:vAlign w:val="center"/>
            <w:hideMark/>
          </w:tcPr>
          <w:p w14:paraId="10AC8B4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+31%</w:t>
            </w:r>
          </w:p>
        </w:tc>
        <w:tc>
          <w:tcPr>
            <w:tcW w:w="930" w:type="dxa"/>
            <w:tcBorders>
              <w:top w:val="nil"/>
              <w:left w:val="nil"/>
              <w:bottom w:val="single" w:sz="4" w:space="0" w:color="auto"/>
              <w:right w:val="nil"/>
            </w:tcBorders>
            <w:shd w:val="clear" w:color="000000" w:fill="FFFFFF"/>
            <w:noWrap/>
            <w:vAlign w:val="center"/>
            <w:hideMark/>
          </w:tcPr>
          <w:p w14:paraId="4666CB6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+50%</w:t>
            </w:r>
          </w:p>
        </w:tc>
      </w:tr>
    </w:tbl>
    <w:p w14:paraId="67E560DD" w14:textId="02AB842C" w:rsidR="00044A7B" w:rsidRDefault="00044A7B" w:rsidP="0072217E">
      <w:pPr>
        <w:autoSpaceDE w:val="0"/>
        <w:autoSpaceDN w:val="0"/>
        <w:adjustRightInd w:val="0"/>
        <w:spacing w:after="0" w:line="240" w:lineRule="auto"/>
        <w:ind w:firstLine="720"/>
        <w:rPr>
          <w:rFonts w:ascii="Calibri" w:hAnsi="Calibri" w:cs="Calibri"/>
          <w:color w:val="000000"/>
        </w:rPr>
      </w:pPr>
    </w:p>
    <w:p w14:paraId="5F7DB98A" w14:textId="77777777" w:rsidR="00044A7B" w:rsidRDefault="00044A7B" w:rsidP="00C42A23">
      <w:pPr>
        <w:autoSpaceDE w:val="0"/>
        <w:autoSpaceDN w:val="0"/>
        <w:adjustRightInd w:val="0"/>
        <w:spacing w:after="0" w:line="240" w:lineRule="auto"/>
        <w:rPr>
          <w:rFonts w:ascii="Calibri" w:hAnsi="Calibri" w:cs="Calibri"/>
          <w:color w:val="000000"/>
        </w:rPr>
      </w:pPr>
    </w:p>
    <w:p w14:paraId="7D44C0AA" w14:textId="661441EF" w:rsidR="0041367A" w:rsidRDefault="00044A7B" w:rsidP="0041367A">
      <w:pPr>
        <w:pStyle w:val="Caption"/>
        <w:keepNext/>
        <w:jc w:val="center"/>
      </w:pPr>
      <w:r w:rsidRPr="00141BEC">
        <w:rPr>
          <w:sz w:val="22"/>
          <w:szCs w:val="22"/>
        </w:rPr>
        <w:t xml:space="preserve">. </w:t>
      </w:r>
      <w:r>
        <w:rPr>
          <w:rFonts w:ascii="Calibri" w:hAnsi="Calibri" w:cs="Calibri"/>
          <w:noProof/>
          <w:color w:val="000000"/>
        </w:rPr>
        <w:drawing>
          <wp:inline distT="0" distB="0" distL="0" distR="0" wp14:anchorId="02D54418" wp14:editId="4B8775BB">
            <wp:extent cx="4434962" cy="3219995"/>
            <wp:effectExtent l="0" t="0" r="381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rotWithShape="1">
                    <a:blip r:embed="rId16" cstate="print">
                      <a:extLst>
                        <a:ext uri="{28A0092B-C50C-407E-A947-70E740481C1C}">
                          <a14:useLocalDpi xmlns:a14="http://schemas.microsoft.com/office/drawing/2010/main" val="0"/>
                        </a:ext>
                      </a:extLst>
                    </a:blip>
                    <a:srcRect l="8333" t="7631" r="6026" b="11904"/>
                    <a:stretch/>
                  </pic:blipFill>
                  <pic:spPr bwMode="auto">
                    <a:xfrm>
                      <a:off x="0" y="0"/>
                      <a:ext cx="4446381" cy="3228285"/>
                    </a:xfrm>
                    <a:prstGeom prst="rect">
                      <a:avLst/>
                    </a:prstGeom>
                    <a:ln>
                      <a:noFill/>
                    </a:ln>
                    <a:extLst>
                      <a:ext uri="{53640926-AAD7-44D8-BBD7-CCE9431645EC}">
                        <a14:shadowObscured xmlns:a14="http://schemas.microsoft.com/office/drawing/2010/main"/>
                      </a:ext>
                    </a:extLst>
                  </pic:spPr>
                </pic:pic>
              </a:graphicData>
            </a:graphic>
          </wp:inline>
        </w:drawing>
      </w:r>
    </w:p>
    <w:p w14:paraId="3E42D0FD" w14:textId="2958A5E2" w:rsidR="0072217E" w:rsidRPr="009E185D" w:rsidRDefault="0041367A" w:rsidP="0041367A">
      <w:pPr>
        <w:pStyle w:val="Caption"/>
        <w:jc w:val="center"/>
        <w:rPr>
          <w:rFonts w:ascii="Calibri" w:hAnsi="Calibri" w:cs="Calibri"/>
          <w:color w:val="000000"/>
          <w:sz w:val="20"/>
          <w:szCs w:val="20"/>
        </w:rPr>
      </w:pPr>
      <w:r w:rsidRPr="009E185D">
        <w:rPr>
          <w:sz w:val="20"/>
          <w:szCs w:val="20"/>
        </w:rPr>
        <w:t xml:space="preserve">Figure </w:t>
      </w:r>
      <w:r w:rsidR="008E7477" w:rsidRPr="009E185D">
        <w:rPr>
          <w:sz w:val="20"/>
          <w:szCs w:val="20"/>
        </w:rPr>
        <w:fldChar w:fldCharType="begin"/>
      </w:r>
      <w:r w:rsidR="008E7477" w:rsidRPr="009E185D">
        <w:rPr>
          <w:sz w:val="20"/>
          <w:szCs w:val="20"/>
        </w:rPr>
        <w:instrText xml:space="preserve"> SEQ Figure \* ARABIC </w:instrText>
      </w:r>
      <w:r w:rsidR="008E7477" w:rsidRPr="009E185D">
        <w:rPr>
          <w:sz w:val="20"/>
          <w:szCs w:val="20"/>
        </w:rPr>
        <w:fldChar w:fldCharType="separate"/>
      </w:r>
      <w:r w:rsidRPr="009E185D">
        <w:rPr>
          <w:noProof/>
          <w:sz w:val="20"/>
          <w:szCs w:val="20"/>
        </w:rPr>
        <w:t>8</w:t>
      </w:r>
      <w:r w:rsidR="008E7477" w:rsidRPr="009E185D">
        <w:rPr>
          <w:noProof/>
          <w:sz w:val="20"/>
          <w:szCs w:val="20"/>
        </w:rPr>
        <w:fldChar w:fldCharType="end"/>
      </w:r>
      <w:r w:rsidRPr="009E185D">
        <w:rPr>
          <w:sz w:val="20"/>
          <w:szCs w:val="20"/>
        </w:rPr>
        <w:t>. Cluster 3 inner-city census tract locations</w:t>
      </w:r>
    </w:p>
    <w:p w14:paraId="7B9CC62C" w14:textId="77777777" w:rsidR="00044A7B" w:rsidRDefault="00044A7B" w:rsidP="00C42A23">
      <w:pPr>
        <w:autoSpaceDE w:val="0"/>
        <w:autoSpaceDN w:val="0"/>
        <w:adjustRightInd w:val="0"/>
        <w:spacing w:after="0" w:line="240" w:lineRule="auto"/>
        <w:rPr>
          <w:rFonts w:ascii="Calibri" w:hAnsi="Calibri" w:cs="Calibri"/>
          <w:color w:val="000000"/>
        </w:rPr>
      </w:pPr>
    </w:p>
    <w:p w14:paraId="10713751" w14:textId="56685519" w:rsidR="00EC787E" w:rsidRDefault="00044A7B" w:rsidP="0005314C">
      <w:pPr>
        <w:autoSpaceDE w:val="0"/>
        <w:autoSpaceDN w:val="0"/>
        <w:adjustRightInd w:val="0"/>
        <w:spacing w:after="0" w:line="240" w:lineRule="auto"/>
        <w:ind w:firstLine="720"/>
        <w:rPr>
          <w:rFonts w:ascii="Calibri" w:hAnsi="Calibri" w:cs="Calibri"/>
          <w:color w:val="000000"/>
        </w:rPr>
      </w:pPr>
      <w:r>
        <w:rPr>
          <w:rFonts w:ascii="Calibri" w:hAnsi="Calibri" w:cs="Calibri"/>
          <w:color w:val="000000"/>
        </w:rPr>
        <w:lastRenderedPageBreak/>
        <w:t xml:space="preserve">Cluster </w:t>
      </w:r>
      <w:r w:rsidR="00EC787E" w:rsidRPr="00EC787E">
        <w:rPr>
          <w:rFonts w:ascii="Calibri" w:hAnsi="Calibri" w:cs="Calibri"/>
          <w:color w:val="000000"/>
        </w:rPr>
        <w:t>4 contain</w:t>
      </w:r>
      <w:r w:rsidR="00BB7984">
        <w:rPr>
          <w:rFonts w:ascii="Calibri" w:hAnsi="Calibri" w:cs="Calibri"/>
          <w:color w:val="000000"/>
        </w:rPr>
        <w:t>s four suburban</w:t>
      </w:r>
      <w:r w:rsidR="00EC787E" w:rsidRPr="00EC787E">
        <w:rPr>
          <w:rFonts w:ascii="Calibri" w:hAnsi="Calibri" w:cs="Calibri"/>
          <w:color w:val="000000"/>
        </w:rPr>
        <w:t xml:space="preserve"> census tracts</w:t>
      </w:r>
      <w:r w:rsidR="00BB7984">
        <w:rPr>
          <w:rFonts w:ascii="Calibri" w:hAnsi="Calibri" w:cs="Calibri"/>
          <w:color w:val="000000"/>
        </w:rPr>
        <w:t xml:space="preserve"> in the southeastern-most portion of Davidson County</w:t>
      </w:r>
      <w:r w:rsidR="00EC787E" w:rsidRPr="00EC787E">
        <w:rPr>
          <w:rFonts w:ascii="Calibri" w:hAnsi="Calibri" w:cs="Calibri"/>
          <w:color w:val="000000"/>
        </w:rPr>
        <w:t xml:space="preserve">. </w:t>
      </w:r>
      <w:r w:rsidR="00BB7984">
        <w:rPr>
          <w:rFonts w:ascii="Calibri" w:hAnsi="Calibri" w:cs="Calibri"/>
          <w:color w:val="000000"/>
        </w:rPr>
        <w:t>This cluster</w:t>
      </w:r>
      <w:r w:rsidR="00EC787E" w:rsidRPr="00EC787E">
        <w:rPr>
          <w:rFonts w:ascii="Calibri" w:hAnsi="Calibri" w:cs="Calibri"/>
          <w:color w:val="000000"/>
        </w:rPr>
        <w:t xml:space="preserve"> is di</w:t>
      </w:r>
      <w:r w:rsidR="00B65F34">
        <w:rPr>
          <w:rFonts w:ascii="Calibri" w:hAnsi="Calibri" w:cs="Calibri"/>
          <w:color w:val="000000"/>
        </w:rPr>
        <w:t>stinguished by</w:t>
      </w:r>
      <w:r w:rsidR="0050324E">
        <w:rPr>
          <w:rFonts w:ascii="Calibri" w:hAnsi="Calibri" w:cs="Calibri"/>
          <w:color w:val="000000"/>
        </w:rPr>
        <w:t xml:space="preserve"> the highest median starting home values</w:t>
      </w:r>
      <w:r w:rsidR="00B65F34">
        <w:rPr>
          <w:rFonts w:ascii="Calibri" w:hAnsi="Calibri" w:cs="Calibri"/>
          <w:color w:val="000000"/>
        </w:rPr>
        <w:t xml:space="preserve"> </w:t>
      </w:r>
      <w:r w:rsidR="0050324E">
        <w:rPr>
          <w:rFonts w:ascii="Calibri" w:hAnsi="Calibri" w:cs="Calibri"/>
          <w:color w:val="000000"/>
        </w:rPr>
        <w:t xml:space="preserve">in 2000, but with relatively </w:t>
      </w:r>
      <w:r w:rsidR="00B65F34">
        <w:rPr>
          <w:rFonts w:ascii="Calibri" w:hAnsi="Calibri" w:cs="Calibri"/>
          <w:color w:val="000000"/>
        </w:rPr>
        <w:t>moderate home value increases (+11%) and large</w:t>
      </w:r>
      <w:r w:rsidR="00EC787E" w:rsidRPr="00EC787E">
        <w:rPr>
          <w:rFonts w:ascii="Calibri" w:hAnsi="Calibri" w:cs="Calibri"/>
          <w:color w:val="000000"/>
        </w:rPr>
        <w:t xml:space="preserve"> </w:t>
      </w:r>
      <w:r w:rsidR="00B65F34">
        <w:rPr>
          <w:rFonts w:ascii="Calibri" w:hAnsi="Calibri" w:cs="Calibri"/>
          <w:color w:val="000000"/>
        </w:rPr>
        <w:t>rent increases (+53%)</w:t>
      </w:r>
      <w:r w:rsidR="000F50BE">
        <w:rPr>
          <w:rFonts w:ascii="Calibri" w:hAnsi="Calibri" w:cs="Calibri"/>
          <w:color w:val="000000"/>
        </w:rPr>
        <w:t>,</w:t>
      </w:r>
      <w:r w:rsidR="00B65F34">
        <w:rPr>
          <w:rFonts w:ascii="Calibri" w:hAnsi="Calibri" w:cs="Calibri"/>
          <w:color w:val="000000"/>
        </w:rPr>
        <w:t xml:space="preserve"> p</w:t>
      </w:r>
      <w:r w:rsidR="000F50BE">
        <w:rPr>
          <w:rFonts w:ascii="Calibri" w:hAnsi="Calibri" w:cs="Calibri"/>
          <w:color w:val="000000"/>
        </w:rPr>
        <w:t>ossibly</w:t>
      </w:r>
      <w:r w:rsidR="00B65F34">
        <w:rPr>
          <w:rFonts w:ascii="Calibri" w:hAnsi="Calibri" w:cs="Calibri"/>
          <w:color w:val="000000"/>
        </w:rPr>
        <w:t xml:space="preserve"> related </w:t>
      </w:r>
      <w:r w:rsidR="000F50BE">
        <w:rPr>
          <w:rFonts w:ascii="Calibri" w:hAnsi="Calibri" w:cs="Calibri"/>
          <w:color w:val="000000"/>
        </w:rPr>
        <w:t>with</w:t>
      </w:r>
      <w:r w:rsidR="00B65F34">
        <w:rPr>
          <w:rFonts w:ascii="Calibri" w:hAnsi="Calibri" w:cs="Calibri"/>
          <w:color w:val="000000"/>
        </w:rPr>
        <w:t xml:space="preserve"> the largest decrease in multi-unit housing (-52%)</w:t>
      </w:r>
      <w:r w:rsidR="00EC787E" w:rsidRPr="00EC787E">
        <w:rPr>
          <w:rFonts w:ascii="Calibri" w:hAnsi="Calibri" w:cs="Calibri"/>
          <w:color w:val="000000"/>
        </w:rPr>
        <w:t xml:space="preserve">. </w:t>
      </w:r>
      <w:r>
        <w:rPr>
          <w:rFonts w:ascii="Calibri" w:hAnsi="Calibri" w:cs="Calibri"/>
          <w:color w:val="000000"/>
        </w:rPr>
        <w:t xml:space="preserve">Cluster </w:t>
      </w:r>
      <w:r w:rsidR="00B65F34">
        <w:rPr>
          <w:rFonts w:ascii="Calibri" w:hAnsi="Calibri" w:cs="Calibri"/>
          <w:color w:val="000000"/>
        </w:rPr>
        <w:t xml:space="preserve">4 saw racial diversification over the period, </w:t>
      </w:r>
      <w:r w:rsidR="0050324E">
        <w:rPr>
          <w:rFonts w:ascii="Calibri" w:hAnsi="Calibri" w:cs="Calibri"/>
          <w:color w:val="000000"/>
        </w:rPr>
        <w:t>with</w:t>
      </w:r>
      <w:r w:rsidR="00B65F34">
        <w:rPr>
          <w:rFonts w:ascii="Calibri" w:hAnsi="Calibri" w:cs="Calibri"/>
          <w:color w:val="000000"/>
        </w:rPr>
        <w:t xml:space="preserve"> the second-largest decrease in percentage of white residents (-11%) </w:t>
      </w:r>
      <w:r w:rsidR="000F50BE">
        <w:rPr>
          <w:rFonts w:ascii="Calibri" w:hAnsi="Calibri" w:cs="Calibri"/>
          <w:color w:val="000000"/>
        </w:rPr>
        <w:t>as well as</w:t>
      </w:r>
      <w:r w:rsidR="00B65F34">
        <w:rPr>
          <w:rFonts w:ascii="Calibri" w:hAnsi="Calibri" w:cs="Calibri"/>
          <w:color w:val="000000"/>
        </w:rPr>
        <w:t xml:space="preserve"> a 22% increase in household income. </w:t>
      </w:r>
    </w:p>
    <w:p w14:paraId="5A9AE75C" w14:textId="59E948E7" w:rsidR="00044A7B" w:rsidRDefault="00044A7B" w:rsidP="0005314C">
      <w:pPr>
        <w:autoSpaceDE w:val="0"/>
        <w:autoSpaceDN w:val="0"/>
        <w:adjustRightInd w:val="0"/>
        <w:spacing w:after="0" w:line="240" w:lineRule="auto"/>
        <w:ind w:firstLine="720"/>
        <w:rPr>
          <w:rFonts w:ascii="Calibri" w:hAnsi="Calibri" w:cs="Calibri"/>
          <w:color w:val="000000"/>
        </w:rPr>
      </w:pPr>
    </w:p>
    <w:p w14:paraId="659E99C3" w14:textId="77777777" w:rsidR="00C42A23" w:rsidRDefault="00C42A23" w:rsidP="0005314C">
      <w:pPr>
        <w:autoSpaceDE w:val="0"/>
        <w:autoSpaceDN w:val="0"/>
        <w:adjustRightInd w:val="0"/>
        <w:spacing w:after="0" w:line="240" w:lineRule="auto"/>
        <w:ind w:firstLine="720"/>
        <w:rPr>
          <w:rFonts w:ascii="Calibri" w:hAnsi="Calibri" w:cs="Calibri"/>
          <w:color w:val="000000"/>
        </w:rPr>
      </w:pPr>
    </w:p>
    <w:p w14:paraId="7E613310" w14:textId="39787273" w:rsidR="00044A7B" w:rsidRPr="009E185D" w:rsidRDefault="00044A7B" w:rsidP="00044A7B">
      <w:pPr>
        <w:pStyle w:val="Caption"/>
        <w:keepNext/>
        <w:jc w:val="center"/>
        <w:rPr>
          <w:sz w:val="20"/>
          <w:szCs w:val="20"/>
        </w:rPr>
      </w:pPr>
      <w:r w:rsidRPr="009E185D">
        <w:rPr>
          <w:sz w:val="20"/>
          <w:szCs w:val="20"/>
        </w:rPr>
        <w:t xml:space="preserve">Table </w:t>
      </w:r>
      <w:r w:rsidR="008E7477" w:rsidRPr="009E185D">
        <w:rPr>
          <w:sz w:val="20"/>
          <w:szCs w:val="20"/>
        </w:rPr>
        <w:fldChar w:fldCharType="begin"/>
      </w:r>
      <w:r w:rsidR="008E7477" w:rsidRPr="009E185D">
        <w:rPr>
          <w:sz w:val="20"/>
          <w:szCs w:val="20"/>
        </w:rPr>
        <w:instrText xml:space="preserve"> SEQ Table \* ARABIC </w:instrText>
      </w:r>
      <w:r w:rsidR="008E7477" w:rsidRPr="009E185D">
        <w:rPr>
          <w:sz w:val="20"/>
          <w:szCs w:val="20"/>
        </w:rPr>
        <w:fldChar w:fldCharType="separate"/>
      </w:r>
      <w:r w:rsidRPr="009E185D">
        <w:rPr>
          <w:noProof/>
          <w:sz w:val="20"/>
          <w:szCs w:val="20"/>
        </w:rPr>
        <w:t>7</w:t>
      </w:r>
      <w:r w:rsidR="008E7477" w:rsidRPr="009E185D">
        <w:rPr>
          <w:noProof/>
          <w:sz w:val="20"/>
          <w:szCs w:val="20"/>
        </w:rPr>
        <w:fldChar w:fldCharType="end"/>
      </w:r>
      <w:r w:rsidRPr="009E185D">
        <w:rPr>
          <w:sz w:val="20"/>
          <w:szCs w:val="20"/>
        </w:rPr>
        <w:t>. Cluster 4 summary statistics</w:t>
      </w:r>
    </w:p>
    <w:tbl>
      <w:tblPr>
        <w:tblW w:w="8540" w:type="dxa"/>
        <w:tblLook w:val="04A0" w:firstRow="1" w:lastRow="0" w:firstColumn="1" w:lastColumn="0" w:noHBand="0" w:noVBand="1"/>
      </w:tblPr>
      <w:tblGrid>
        <w:gridCol w:w="2440"/>
        <w:gridCol w:w="976"/>
        <w:gridCol w:w="976"/>
        <w:gridCol w:w="340"/>
        <w:gridCol w:w="898"/>
        <w:gridCol w:w="890"/>
        <w:gridCol w:w="1162"/>
        <w:gridCol w:w="890"/>
      </w:tblGrid>
      <w:tr w:rsidR="00D47A5D" w:rsidRPr="00D47A5D" w14:paraId="17C7A7AF" w14:textId="77777777" w:rsidTr="00D47A5D">
        <w:trPr>
          <w:trHeight w:val="288"/>
        </w:trPr>
        <w:tc>
          <w:tcPr>
            <w:tcW w:w="2440" w:type="dxa"/>
            <w:vMerge w:val="restart"/>
            <w:tcBorders>
              <w:top w:val="single" w:sz="4" w:space="0" w:color="auto"/>
              <w:left w:val="nil"/>
              <w:bottom w:val="single" w:sz="4" w:space="0" w:color="000000"/>
              <w:right w:val="nil"/>
            </w:tcBorders>
            <w:shd w:val="clear" w:color="000000" w:fill="FFFFFF"/>
            <w:noWrap/>
            <w:vAlign w:val="center"/>
            <w:hideMark/>
          </w:tcPr>
          <w:p w14:paraId="7B21B3A6"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Cluster 4 (n=4)</w:t>
            </w:r>
          </w:p>
        </w:tc>
        <w:tc>
          <w:tcPr>
            <w:tcW w:w="960" w:type="dxa"/>
            <w:tcBorders>
              <w:top w:val="single" w:sz="4" w:space="0" w:color="auto"/>
              <w:left w:val="nil"/>
              <w:bottom w:val="nil"/>
              <w:right w:val="nil"/>
            </w:tcBorders>
            <w:shd w:val="clear" w:color="000000" w:fill="FFFFFF"/>
            <w:noWrap/>
            <w:vAlign w:val="center"/>
            <w:hideMark/>
          </w:tcPr>
          <w:p w14:paraId="56F5E389"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2000</w:t>
            </w:r>
          </w:p>
        </w:tc>
        <w:tc>
          <w:tcPr>
            <w:tcW w:w="960" w:type="dxa"/>
            <w:tcBorders>
              <w:top w:val="single" w:sz="4" w:space="0" w:color="auto"/>
              <w:left w:val="nil"/>
              <w:bottom w:val="nil"/>
              <w:right w:val="nil"/>
            </w:tcBorders>
            <w:shd w:val="clear" w:color="000000" w:fill="FFFFFF"/>
            <w:noWrap/>
            <w:vAlign w:val="center"/>
            <w:hideMark/>
          </w:tcPr>
          <w:p w14:paraId="3226DEE7"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2019</w:t>
            </w:r>
          </w:p>
        </w:tc>
        <w:tc>
          <w:tcPr>
            <w:tcW w:w="340" w:type="dxa"/>
            <w:tcBorders>
              <w:top w:val="single" w:sz="4" w:space="0" w:color="auto"/>
              <w:left w:val="nil"/>
              <w:bottom w:val="nil"/>
              <w:right w:val="nil"/>
            </w:tcBorders>
            <w:shd w:val="clear" w:color="000000" w:fill="FFFFFF"/>
            <w:noWrap/>
            <w:vAlign w:val="center"/>
            <w:hideMark/>
          </w:tcPr>
          <w:p w14:paraId="18421F7C"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 </w:t>
            </w:r>
          </w:p>
        </w:tc>
        <w:tc>
          <w:tcPr>
            <w:tcW w:w="3840" w:type="dxa"/>
            <w:gridSpan w:val="4"/>
            <w:tcBorders>
              <w:top w:val="single" w:sz="4" w:space="0" w:color="auto"/>
              <w:left w:val="nil"/>
              <w:bottom w:val="nil"/>
              <w:right w:val="nil"/>
            </w:tcBorders>
            <w:shd w:val="clear" w:color="000000" w:fill="FFFFFF"/>
            <w:noWrap/>
            <w:vAlign w:val="center"/>
            <w:hideMark/>
          </w:tcPr>
          <w:p w14:paraId="3BBE8A2D"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Percent Change</w:t>
            </w:r>
          </w:p>
        </w:tc>
      </w:tr>
      <w:tr w:rsidR="00D47A5D" w:rsidRPr="00D47A5D" w14:paraId="78BE2856" w14:textId="77777777" w:rsidTr="00D47A5D">
        <w:trPr>
          <w:trHeight w:val="288"/>
        </w:trPr>
        <w:tc>
          <w:tcPr>
            <w:tcW w:w="2440" w:type="dxa"/>
            <w:vMerge/>
            <w:tcBorders>
              <w:top w:val="single" w:sz="4" w:space="0" w:color="auto"/>
              <w:left w:val="nil"/>
              <w:bottom w:val="single" w:sz="4" w:space="0" w:color="000000"/>
              <w:right w:val="nil"/>
            </w:tcBorders>
            <w:vAlign w:val="center"/>
            <w:hideMark/>
          </w:tcPr>
          <w:p w14:paraId="6178950D" w14:textId="77777777" w:rsidR="00D47A5D" w:rsidRPr="00D47A5D" w:rsidRDefault="00D47A5D" w:rsidP="00D47A5D">
            <w:pPr>
              <w:spacing w:after="0" w:line="240" w:lineRule="auto"/>
              <w:rPr>
                <w:rFonts w:ascii="Calibri" w:eastAsia="Times New Roman" w:hAnsi="Calibri" w:cs="Calibri"/>
                <w:b/>
                <w:bCs/>
                <w:color w:val="000000"/>
                <w:sz w:val="20"/>
                <w:szCs w:val="20"/>
              </w:rPr>
            </w:pPr>
          </w:p>
        </w:tc>
        <w:tc>
          <w:tcPr>
            <w:tcW w:w="960" w:type="dxa"/>
            <w:tcBorders>
              <w:top w:val="nil"/>
              <w:left w:val="nil"/>
              <w:bottom w:val="single" w:sz="4" w:space="0" w:color="auto"/>
              <w:right w:val="nil"/>
            </w:tcBorders>
            <w:shd w:val="clear" w:color="000000" w:fill="FFFFFF"/>
            <w:noWrap/>
            <w:vAlign w:val="center"/>
            <w:hideMark/>
          </w:tcPr>
          <w:p w14:paraId="69FB0191"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60" w:type="dxa"/>
            <w:tcBorders>
              <w:top w:val="nil"/>
              <w:left w:val="nil"/>
              <w:bottom w:val="single" w:sz="4" w:space="0" w:color="auto"/>
              <w:right w:val="nil"/>
            </w:tcBorders>
            <w:shd w:val="clear" w:color="000000" w:fill="FFFFFF"/>
            <w:noWrap/>
            <w:vAlign w:val="center"/>
            <w:hideMark/>
          </w:tcPr>
          <w:p w14:paraId="5D77FC74"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340" w:type="dxa"/>
            <w:tcBorders>
              <w:top w:val="nil"/>
              <w:left w:val="nil"/>
              <w:bottom w:val="single" w:sz="4" w:space="0" w:color="auto"/>
              <w:right w:val="nil"/>
            </w:tcBorders>
            <w:shd w:val="clear" w:color="000000" w:fill="FFFFFF"/>
            <w:noWrap/>
            <w:vAlign w:val="center"/>
            <w:hideMark/>
          </w:tcPr>
          <w:p w14:paraId="5F1CD3BE"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 </w:t>
            </w:r>
          </w:p>
        </w:tc>
        <w:tc>
          <w:tcPr>
            <w:tcW w:w="898" w:type="dxa"/>
            <w:tcBorders>
              <w:top w:val="nil"/>
              <w:left w:val="nil"/>
              <w:bottom w:val="single" w:sz="4" w:space="0" w:color="auto"/>
              <w:right w:val="nil"/>
            </w:tcBorders>
            <w:shd w:val="clear" w:color="000000" w:fill="FFFFFF"/>
            <w:noWrap/>
            <w:vAlign w:val="center"/>
            <w:hideMark/>
          </w:tcPr>
          <w:p w14:paraId="6FF4058C"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Mean</w:t>
            </w:r>
          </w:p>
        </w:tc>
        <w:tc>
          <w:tcPr>
            <w:tcW w:w="890" w:type="dxa"/>
            <w:tcBorders>
              <w:top w:val="nil"/>
              <w:left w:val="nil"/>
              <w:bottom w:val="single" w:sz="4" w:space="0" w:color="auto"/>
              <w:right w:val="nil"/>
            </w:tcBorders>
            <w:shd w:val="clear" w:color="000000" w:fill="FFFFFF"/>
            <w:noWrap/>
            <w:vAlign w:val="center"/>
            <w:hideMark/>
          </w:tcPr>
          <w:p w14:paraId="7F85D0C7"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Min.</w:t>
            </w:r>
          </w:p>
        </w:tc>
        <w:tc>
          <w:tcPr>
            <w:tcW w:w="1162" w:type="dxa"/>
            <w:tcBorders>
              <w:top w:val="nil"/>
              <w:left w:val="nil"/>
              <w:bottom w:val="single" w:sz="4" w:space="0" w:color="auto"/>
              <w:right w:val="nil"/>
            </w:tcBorders>
            <w:shd w:val="clear" w:color="000000" w:fill="FFFFFF"/>
            <w:noWrap/>
            <w:vAlign w:val="center"/>
            <w:hideMark/>
          </w:tcPr>
          <w:p w14:paraId="4BA76B7C"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890" w:type="dxa"/>
            <w:tcBorders>
              <w:top w:val="nil"/>
              <w:left w:val="nil"/>
              <w:bottom w:val="single" w:sz="4" w:space="0" w:color="auto"/>
              <w:right w:val="nil"/>
            </w:tcBorders>
            <w:shd w:val="clear" w:color="000000" w:fill="FFFFFF"/>
            <w:noWrap/>
            <w:vAlign w:val="center"/>
            <w:hideMark/>
          </w:tcPr>
          <w:p w14:paraId="70D3645D"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Max.</w:t>
            </w:r>
          </w:p>
        </w:tc>
      </w:tr>
      <w:tr w:rsidR="00D47A5D" w:rsidRPr="00D47A5D" w14:paraId="25FA7C4E" w14:textId="77777777" w:rsidTr="00D47A5D">
        <w:trPr>
          <w:trHeight w:val="288"/>
        </w:trPr>
        <w:tc>
          <w:tcPr>
            <w:tcW w:w="2440" w:type="dxa"/>
            <w:tcBorders>
              <w:top w:val="nil"/>
              <w:left w:val="nil"/>
              <w:bottom w:val="nil"/>
              <w:right w:val="nil"/>
            </w:tcBorders>
            <w:shd w:val="clear" w:color="000000" w:fill="FFFFFF"/>
            <w:noWrap/>
            <w:vAlign w:val="bottom"/>
            <w:hideMark/>
          </w:tcPr>
          <w:p w14:paraId="321E6274"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52B3D5AE"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5819505F"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340" w:type="dxa"/>
            <w:tcBorders>
              <w:top w:val="nil"/>
              <w:left w:val="nil"/>
              <w:bottom w:val="nil"/>
              <w:right w:val="nil"/>
            </w:tcBorders>
            <w:shd w:val="clear" w:color="000000" w:fill="FFFFFF"/>
            <w:noWrap/>
            <w:vAlign w:val="bottom"/>
            <w:hideMark/>
          </w:tcPr>
          <w:p w14:paraId="5E2D3662"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8" w:type="dxa"/>
            <w:tcBorders>
              <w:top w:val="nil"/>
              <w:left w:val="nil"/>
              <w:bottom w:val="nil"/>
              <w:right w:val="nil"/>
            </w:tcBorders>
            <w:shd w:val="clear" w:color="000000" w:fill="FFFFFF"/>
            <w:noWrap/>
            <w:vAlign w:val="bottom"/>
            <w:hideMark/>
          </w:tcPr>
          <w:p w14:paraId="078C40B2"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0" w:type="dxa"/>
            <w:tcBorders>
              <w:top w:val="nil"/>
              <w:left w:val="nil"/>
              <w:bottom w:val="nil"/>
              <w:right w:val="nil"/>
            </w:tcBorders>
            <w:shd w:val="clear" w:color="000000" w:fill="FFFFFF"/>
            <w:noWrap/>
            <w:vAlign w:val="bottom"/>
            <w:hideMark/>
          </w:tcPr>
          <w:p w14:paraId="2A9AA024"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1162" w:type="dxa"/>
            <w:tcBorders>
              <w:top w:val="nil"/>
              <w:left w:val="nil"/>
              <w:bottom w:val="nil"/>
              <w:right w:val="nil"/>
            </w:tcBorders>
            <w:shd w:val="clear" w:color="000000" w:fill="FFFFFF"/>
            <w:noWrap/>
            <w:vAlign w:val="bottom"/>
            <w:hideMark/>
          </w:tcPr>
          <w:p w14:paraId="08FE56C1"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0" w:type="dxa"/>
            <w:tcBorders>
              <w:top w:val="nil"/>
              <w:left w:val="nil"/>
              <w:bottom w:val="nil"/>
              <w:right w:val="nil"/>
            </w:tcBorders>
            <w:shd w:val="clear" w:color="000000" w:fill="FFFFFF"/>
            <w:noWrap/>
            <w:vAlign w:val="bottom"/>
            <w:hideMark/>
          </w:tcPr>
          <w:p w14:paraId="2052DD24"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r>
      <w:tr w:rsidR="00D47A5D" w:rsidRPr="00D47A5D" w14:paraId="5E6A6CBB" w14:textId="77777777" w:rsidTr="00D47A5D">
        <w:trPr>
          <w:trHeight w:val="288"/>
        </w:trPr>
        <w:tc>
          <w:tcPr>
            <w:tcW w:w="2440" w:type="dxa"/>
            <w:tcBorders>
              <w:top w:val="nil"/>
              <w:left w:val="nil"/>
              <w:bottom w:val="nil"/>
              <w:right w:val="nil"/>
            </w:tcBorders>
            <w:shd w:val="clear" w:color="000000" w:fill="FFFFFF"/>
            <w:noWrap/>
            <w:vAlign w:val="bottom"/>
            <w:hideMark/>
          </w:tcPr>
          <w:p w14:paraId="157F8817"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Home Value</w:t>
            </w:r>
          </w:p>
        </w:tc>
        <w:tc>
          <w:tcPr>
            <w:tcW w:w="960" w:type="dxa"/>
            <w:tcBorders>
              <w:top w:val="nil"/>
              <w:left w:val="nil"/>
              <w:bottom w:val="nil"/>
              <w:right w:val="nil"/>
            </w:tcBorders>
            <w:shd w:val="clear" w:color="000000" w:fill="FFFFFF"/>
            <w:noWrap/>
            <w:vAlign w:val="center"/>
            <w:hideMark/>
          </w:tcPr>
          <w:p w14:paraId="5894A65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$204,367</w:t>
            </w:r>
          </w:p>
        </w:tc>
        <w:tc>
          <w:tcPr>
            <w:tcW w:w="960" w:type="dxa"/>
            <w:tcBorders>
              <w:top w:val="nil"/>
              <w:left w:val="nil"/>
              <w:bottom w:val="nil"/>
              <w:right w:val="nil"/>
            </w:tcBorders>
            <w:shd w:val="clear" w:color="000000" w:fill="FFFFFF"/>
            <w:noWrap/>
            <w:vAlign w:val="center"/>
            <w:hideMark/>
          </w:tcPr>
          <w:p w14:paraId="59BDEBC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$216,000</w:t>
            </w:r>
          </w:p>
        </w:tc>
        <w:tc>
          <w:tcPr>
            <w:tcW w:w="340" w:type="dxa"/>
            <w:tcBorders>
              <w:top w:val="nil"/>
              <w:left w:val="nil"/>
              <w:bottom w:val="nil"/>
              <w:right w:val="nil"/>
            </w:tcBorders>
            <w:shd w:val="clear" w:color="000000" w:fill="FFFFFF"/>
            <w:noWrap/>
            <w:vAlign w:val="center"/>
            <w:hideMark/>
          </w:tcPr>
          <w:p w14:paraId="660A6C5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8" w:type="dxa"/>
            <w:tcBorders>
              <w:top w:val="nil"/>
              <w:left w:val="nil"/>
              <w:bottom w:val="nil"/>
              <w:right w:val="nil"/>
            </w:tcBorders>
            <w:shd w:val="clear" w:color="000000" w:fill="FFFFFF"/>
            <w:noWrap/>
            <w:vAlign w:val="center"/>
            <w:hideMark/>
          </w:tcPr>
          <w:p w14:paraId="38EBDB1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w:t>
            </w:r>
          </w:p>
        </w:tc>
        <w:tc>
          <w:tcPr>
            <w:tcW w:w="890" w:type="dxa"/>
            <w:tcBorders>
              <w:top w:val="nil"/>
              <w:left w:val="nil"/>
              <w:bottom w:val="nil"/>
              <w:right w:val="nil"/>
            </w:tcBorders>
            <w:shd w:val="clear" w:color="000000" w:fill="FFFFFF"/>
            <w:noWrap/>
            <w:vAlign w:val="center"/>
            <w:hideMark/>
          </w:tcPr>
          <w:p w14:paraId="4B3FE641" w14:textId="66DDA2E0"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w:t>
            </w:r>
          </w:p>
        </w:tc>
        <w:tc>
          <w:tcPr>
            <w:tcW w:w="1162" w:type="dxa"/>
            <w:tcBorders>
              <w:top w:val="nil"/>
              <w:left w:val="nil"/>
              <w:bottom w:val="nil"/>
              <w:right w:val="nil"/>
            </w:tcBorders>
            <w:shd w:val="clear" w:color="000000" w:fill="FFFFFF"/>
            <w:noWrap/>
            <w:vAlign w:val="center"/>
            <w:hideMark/>
          </w:tcPr>
          <w:p w14:paraId="6D71259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w:t>
            </w:r>
          </w:p>
        </w:tc>
        <w:tc>
          <w:tcPr>
            <w:tcW w:w="890" w:type="dxa"/>
            <w:tcBorders>
              <w:top w:val="nil"/>
              <w:left w:val="nil"/>
              <w:bottom w:val="nil"/>
              <w:right w:val="nil"/>
            </w:tcBorders>
            <w:shd w:val="clear" w:color="000000" w:fill="FFFFFF"/>
            <w:noWrap/>
            <w:vAlign w:val="center"/>
            <w:hideMark/>
          </w:tcPr>
          <w:p w14:paraId="28BC648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+36%</w:t>
            </w:r>
          </w:p>
        </w:tc>
      </w:tr>
      <w:tr w:rsidR="00D47A5D" w:rsidRPr="00D47A5D" w14:paraId="20A8BBC1" w14:textId="77777777" w:rsidTr="00D47A5D">
        <w:trPr>
          <w:trHeight w:val="288"/>
        </w:trPr>
        <w:tc>
          <w:tcPr>
            <w:tcW w:w="2440" w:type="dxa"/>
            <w:tcBorders>
              <w:top w:val="nil"/>
              <w:left w:val="nil"/>
              <w:bottom w:val="nil"/>
              <w:right w:val="nil"/>
            </w:tcBorders>
            <w:shd w:val="clear" w:color="000000" w:fill="FFFFFF"/>
            <w:noWrap/>
            <w:vAlign w:val="bottom"/>
            <w:hideMark/>
          </w:tcPr>
          <w:p w14:paraId="33DA3746"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Rent Value</w:t>
            </w:r>
          </w:p>
        </w:tc>
        <w:tc>
          <w:tcPr>
            <w:tcW w:w="960" w:type="dxa"/>
            <w:tcBorders>
              <w:top w:val="nil"/>
              <w:left w:val="nil"/>
              <w:bottom w:val="nil"/>
              <w:right w:val="nil"/>
            </w:tcBorders>
            <w:shd w:val="clear" w:color="000000" w:fill="FFFFFF"/>
            <w:noWrap/>
            <w:vAlign w:val="center"/>
            <w:hideMark/>
          </w:tcPr>
          <w:p w14:paraId="55873D2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$969</w:t>
            </w:r>
          </w:p>
        </w:tc>
        <w:tc>
          <w:tcPr>
            <w:tcW w:w="960" w:type="dxa"/>
            <w:tcBorders>
              <w:top w:val="nil"/>
              <w:left w:val="nil"/>
              <w:bottom w:val="nil"/>
              <w:right w:val="nil"/>
            </w:tcBorders>
            <w:shd w:val="clear" w:color="000000" w:fill="FFFFFF"/>
            <w:noWrap/>
            <w:vAlign w:val="center"/>
            <w:hideMark/>
          </w:tcPr>
          <w:p w14:paraId="4041573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$1,557</w:t>
            </w:r>
          </w:p>
        </w:tc>
        <w:tc>
          <w:tcPr>
            <w:tcW w:w="340" w:type="dxa"/>
            <w:tcBorders>
              <w:top w:val="nil"/>
              <w:left w:val="nil"/>
              <w:bottom w:val="nil"/>
              <w:right w:val="nil"/>
            </w:tcBorders>
            <w:shd w:val="clear" w:color="000000" w:fill="FFFFFF"/>
            <w:noWrap/>
            <w:vAlign w:val="center"/>
            <w:hideMark/>
          </w:tcPr>
          <w:p w14:paraId="25BB70E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8" w:type="dxa"/>
            <w:tcBorders>
              <w:top w:val="nil"/>
              <w:left w:val="nil"/>
              <w:bottom w:val="nil"/>
              <w:right w:val="nil"/>
            </w:tcBorders>
            <w:shd w:val="clear" w:color="000000" w:fill="FFFFFF"/>
            <w:noWrap/>
            <w:vAlign w:val="center"/>
            <w:hideMark/>
          </w:tcPr>
          <w:p w14:paraId="22E665C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+53%</w:t>
            </w:r>
          </w:p>
        </w:tc>
        <w:tc>
          <w:tcPr>
            <w:tcW w:w="890" w:type="dxa"/>
            <w:tcBorders>
              <w:top w:val="nil"/>
              <w:left w:val="nil"/>
              <w:bottom w:val="nil"/>
              <w:right w:val="nil"/>
            </w:tcBorders>
            <w:shd w:val="clear" w:color="000000" w:fill="FFFFFF"/>
            <w:noWrap/>
            <w:vAlign w:val="center"/>
            <w:hideMark/>
          </w:tcPr>
          <w:p w14:paraId="7BDAFDF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+25%</w:t>
            </w:r>
          </w:p>
        </w:tc>
        <w:tc>
          <w:tcPr>
            <w:tcW w:w="1162" w:type="dxa"/>
            <w:tcBorders>
              <w:top w:val="nil"/>
              <w:left w:val="nil"/>
              <w:bottom w:val="nil"/>
              <w:right w:val="nil"/>
            </w:tcBorders>
            <w:shd w:val="clear" w:color="000000" w:fill="FFFFFF"/>
            <w:noWrap/>
            <w:vAlign w:val="center"/>
            <w:hideMark/>
          </w:tcPr>
          <w:p w14:paraId="1B4E174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+53%</w:t>
            </w:r>
          </w:p>
        </w:tc>
        <w:tc>
          <w:tcPr>
            <w:tcW w:w="890" w:type="dxa"/>
            <w:tcBorders>
              <w:top w:val="nil"/>
              <w:left w:val="nil"/>
              <w:bottom w:val="nil"/>
              <w:right w:val="nil"/>
            </w:tcBorders>
            <w:shd w:val="clear" w:color="000000" w:fill="FFFFFF"/>
            <w:noWrap/>
            <w:vAlign w:val="center"/>
            <w:hideMark/>
          </w:tcPr>
          <w:p w14:paraId="1DDF756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+80%</w:t>
            </w:r>
          </w:p>
        </w:tc>
      </w:tr>
      <w:tr w:rsidR="00D47A5D" w:rsidRPr="00D47A5D" w14:paraId="48B77705" w14:textId="77777777" w:rsidTr="00D47A5D">
        <w:trPr>
          <w:trHeight w:val="288"/>
        </w:trPr>
        <w:tc>
          <w:tcPr>
            <w:tcW w:w="2440" w:type="dxa"/>
            <w:tcBorders>
              <w:top w:val="nil"/>
              <w:left w:val="nil"/>
              <w:bottom w:val="nil"/>
              <w:right w:val="nil"/>
            </w:tcBorders>
            <w:shd w:val="clear" w:color="000000" w:fill="FFFFFF"/>
            <w:noWrap/>
            <w:vAlign w:val="bottom"/>
            <w:hideMark/>
          </w:tcPr>
          <w:p w14:paraId="043796D6"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Household Income</w:t>
            </w:r>
          </w:p>
        </w:tc>
        <w:tc>
          <w:tcPr>
            <w:tcW w:w="960" w:type="dxa"/>
            <w:tcBorders>
              <w:top w:val="nil"/>
              <w:left w:val="nil"/>
              <w:bottom w:val="nil"/>
              <w:right w:val="nil"/>
            </w:tcBorders>
            <w:shd w:val="clear" w:color="000000" w:fill="FFFFFF"/>
            <w:noWrap/>
            <w:vAlign w:val="center"/>
            <w:hideMark/>
          </w:tcPr>
          <w:p w14:paraId="63A23A4D"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$65,494</w:t>
            </w:r>
          </w:p>
        </w:tc>
        <w:tc>
          <w:tcPr>
            <w:tcW w:w="960" w:type="dxa"/>
            <w:tcBorders>
              <w:top w:val="nil"/>
              <w:left w:val="nil"/>
              <w:bottom w:val="nil"/>
              <w:right w:val="nil"/>
            </w:tcBorders>
            <w:shd w:val="clear" w:color="000000" w:fill="FFFFFF"/>
            <w:noWrap/>
            <w:vAlign w:val="center"/>
            <w:hideMark/>
          </w:tcPr>
          <w:p w14:paraId="61A37C6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$79,312</w:t>
            </w:r>
          </w:p>
        </w:tc>
        <w:tc>
          <w:tcPr>
            <w:tcW w:w="340" w:type="dxa"/>
            <w:tcBorders>
              <w:top w:val="nil"/>
              <w:left w:val="nil"/>
              <w:bottom w:val="nil"/>
              <w:right w:val="nil"/>
            </w:tcBorders>
            <w:shd w:val="clear" w:color="000000" w:fill="FFFFFF"/>
            <w:noWrap/>
            <w:vAlign w:val="center"/>
            <w:hideMark/>
          </w:tcPr>
          <w:p w14:paraId="57E872D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8" w:type="dxa"/>
            <w:tcBorders>
              <w:top w:val="nil"/>
              <w:left w:val="nil"/>
              <w:bottom w:val="nil"/>
              <w:right w:val="nil"/>
            </w:tcBorders>
            <w:shd w:val="clear" w:color="000000" w:fill="FFFFFF"/>
            <w:noWrap/>
            <w:vAlign w:val="center"/>
            <w:hideMark/>
          </w:tcPr>
          <w:p w14:paraId="0B8B039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+22%</w:t>
            </w:r>
          </w:p>
        </w:tc>
        <w:tc>
          <w:tcPr>
            <w:tcW w:w="890" w:type="dxa"/>
            <w:tcBorders>
              <w:top w:val="nil"/>
              <w:left w:val="nil"/>
              <w:bottom w:val="nil"/>
              <w:right w:val="nil"/>
            </w:tcBorders>
            <w:shd w:val="clear" w:color="000000" w:fill="FFFFFF"/>
            <w:noWrap/>
            <w:vAlign w:val="center"/>
            <w:hideMark/>
          </w:tcPr>
          <w:p w14:paraId="6F149A8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w:t>
            </w:r>
          </w:p>
        </w:tc>
        <w:tc>
          <w:tcPr>
            <w:tcW w:w="1162" w:type="dxa"/>
            <w:tcBorders>
              <w:top w:val="nil"/>
              <w:left w:val="nil"/>
              <w:bottom w:val="nil"/>
              <w:right w:val="nil"/>
            </w:tcBorders>
            <w:shd w:val="clear" w:color="000000" w:fill="FFFFFF"/>
            <w:noWrap/>
            <w:vAlign w:val="center"/>
            <w:hideMark/>
          </w:tcPr>
          <w:p w14:paraId="047835F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+22%</w:t>
            </w:r>
          </w:p>
        </w:tc>
        <w:tc>
          <w:tcPr>
            <w:tcW w:w="890" w:type="dxa"/>
            <w:tcBorders>
              <w:top w:val="nil"/>
              <w:left w:val="nil"/>
              <w:bottom w:val="nil"/>
              <w:right w:val="nil"/>
            </w:tcBorders>
            <w:shd w:val="clear" w:color="000000" w:fill="FFFFFF"/>
            <w:noWrap/>
            <w:vAlign w:val="center"/>
            <w:hideMark/>
          </w:tcPr>
          <w:p w14:paraId="12BBC66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+39%</w:t>
            </w:r>
          </w:p>
        </w:tc>
      </w:tr>
      <w:tr w:rsidR="00D47A5D" w:rsidRPr="00D47A5D" w14:paraId="3FF0377E" w14:textId="77777777" w:rsidTr="00D47A5D">
        <w:trPr>
          <w:trHeight w:val="288"/>
        </w:trPr>
        <w:tc>
          <w:tcPr>
            <w:tcW w:w="2440" w:type="dxa"/>
            <w:tcBorders>
              <w:top w:val="nil"/>
              <w:left w:val="nil"/>
              <w:bottom w:val="nil"/>
              <w:right w:val="nil"/>
            </w:tcBorders>
            <w:shd w:val="clear" w:color="000000" w:fill="FFFFFF"/>
            <w:noWrap/>
            <w:vAlign w:val="bottom"/>
            <w:hideMark/>
          </w:tcPr>
          <w:p w14:paraId="415DE298"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College Degree</w:t>
            </w:r>
          </w:p>
        </w:tc>
        <w:tc>
          <w:tcPr>
            <w:tcW w:w="960" w:type="dxa"/>
            <w:tcBorders>
              <w:top w:val="nil"/>
              <w:left w:val="nil"/>
              <w:bottom w:val="nil"/>
              <w:right w:val="nil"/>
            </w:tcBorders>
            <w:shd w:val="clear" w:color="000000" w:fill="FFFFFF"/>
            <w:noWrap/>
            <w:vAlign w:val="center"/>
            <w:hideMark/>
          </w:tcPr>
          <w:p w14:paraId="49CAAAA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37%</w:t>
            </w:r>
          </w:p>
        </w:tc>
        <w:tc>
          <w:tcPr>
            <w:tcW w:w="960" w:type="dxa"/>
            <w:tcBorders>
              <w:top w:val="nil"/>
              <w:left w:val="nil"/>
              <w:bottom w:val="nil"/>
              <w:right w:val="nil"/>
            </w:tcBorders>
            <w:shd w:val="clear" w:color="000000" w:fill="FFFFFF"/>
            <w:noWrap/>
            <w:vAlign w:val="center"/>
            <w:hideMark/>
          </w:tcPr>
          <w:p w14:paraId="7F017C7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35%</w:t>
            </w:r>
          </w:p>
        </w:tc>
        <w:tc>
          <w:tcPr>
            <w:tcW w:w="340" w:type="dxa"/>
            <w:tcBorders>
              <w:top w:val="nil"/>
              <w:left w:val="nil"/>
              <w:bottom w:val="nil"/>
              <w:right w:val="nil"/>
            </w:tcBorders>
            <w:shd w:val="clear" w:color="000000" w:fill="FFFFFF"/>
            <w:noWrap/>
            <w:vAlign w:val="center"/>
            <w:hideMark/>
          </w:tcPr>
          <w:p w14:paraId="770FE89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8" w:type="dxa"/>
            <w:tcBorders>
              <w:top w:val="nil"/>
              <w:left w:val="nil"/>
              <w:bottom w:val="nil"/>
              <w:right w:val="nil"/>
            </w:tcBorders>
            <w:shd w:val="clear" w:color="000000" w:fill="FFFFFF"/>
            <w:noWrap/>
            <w:vAlign w:val="center"/>
            <w:hideMark/>
          </w:tcPr>
          <w:p w14:paraId="385AFEA3"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-0%</w:t>
            </w:r>
          </w:p>
        </w:tc>
        <w:tc>
          <w:tcPr>
            <w:tcW w:w="890" w:type="dxa"/>
            <w:tcBorders>
              <w:top w:val="nil"/>
              <w:left w:val="nil"/>
              <w:bottom w:val="nil"/>
              <w:right w:val="nil"/>
            </w:tcBorders>
            <w:shd w:val="clear" w:color="000000" w:fill="FFFFFF"/>
            <w:noWrap/>
            <w:vAlign w:val="center"/>
            <w:hideMark/>
          </w:tcPr>
          <w:p w14:paraId="15E790F4" w14:textId="5FBE56D2"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w:t>
            </w:r>
          </w:p>
        </w:tc>
        <w:tc>
          <w:tcPr>
            <w:tcW w:w="1162" w:type="dxa"/>
            <w:tcBorders>
              <w:top w:val="nil"/>
              <w:left w:val="nil"/>
              <w:bottom w:val="nil"/>
              <w:right w:val="nil"/>
            </w:tcBorders>
            <w:shd w:val="clear" w:color="000000" w:fill="FFFFFF"/>
            <w:noWrap/>
            <w:vAlign w:val="center"/>
            <w:hideMark/>
          </w:tcPr>
          <w:p w14:paraId="6FB09D08" w14:textId="339AB7CF"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w:t>
            </w:r>
          </w:p>
        </w:tc>
        <w:tc>
          <w:tcPr>
            <w:tcW w:w="890" w:type="dxa"/>
            <w:tcBorders>
              <w:top w:val="nil"/>
              <w:left w:val="nil"/>
              <w:bottom w:val="nil"/>
              <w:right w:val="nil"/>
            </w:tcBorders>
            <w:shd w:val="clear" w:color="000000" w:fill="FFFFFF"/>
            <w:noWrap/>
            <w:vAlign w:val="center"/>
            <w:hideMark/>
          </w:tcPr>
          <w:p w14:paraId="6585252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+14%</w:t>
            </w:r>
          </w:p>
        </w:tc>
      </w:tr>
      <w:tr w:rsidR="00D47A5D" w:rsidRPr="00D47A5D" w14:paraId="7087AF12" w14:textId="77777777" w:rsidTr="00D47A5D">
        <w:trPr>
          <w:trHeight w:val="288"/>
        </w:trPr>
        <w:tc>
          <w:tcPr>
            <w:tcW w:w="2440" w:type="dxa"/>
            <w:tcBorders>
              <w:top w:val="nil"/>
              <w:left w:val="nil"/>
              <w:bottom w:val="nil"/>
              <w:right w:val="nil"/>
            </w:tcBorders>
            <w:shd w:val="clear" w:color="000000" w:fill="FFFFFF"/>
            <w:noWrap/>
            <w:vAlign w:val="bottom"/>
            <w:hideMark/>
          </w:tcPr>
          <w:p w14:paraId="7D8DB82F"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Multi-Unit Housing</w:t>
            </w:r>
          </w:p>
        </w:tc>
        <w:tc>
          <w:tcPr>
            <w:tcW w:w="960" w:type="dxa"/>
            <w:tcBorders>
              <w:top w:val="nil"/>
              <w:left w:val="nil"/>
              <w:bottom w:val="nil"/>
              <w:right w:val="nil"/>
            </w:tcBorders>
            <w:shd w:val="clear" w:color="000000" w:fill="FFFFFF"/>
            <w:noWrap/>
            <w:vAlign w:val="center"/>
            <w:hideMark/>
          </w:tcPr>
          <w:p w14:paraId="40DFD3F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58%</w:t>
            </w:r>
          </w:p>
        </w:tc>
        <w:tc>
          <w:tcPr>
            <w:tcW w:w="960" w:type="dxa"/>
            <w:tcBorders>
              <w:top w:val="nil"/>
              <w:left w:val="nil"/>
              <w:bottom w:val="nil"/>
              <w:right w:val="nil"/>
            </w:tcBorders>
            <w:shd w:val="clear" w:color="000000" w:fill="FFFFFF"/>
            <w:noWrap/>
            <w:vAlign w:val="center"/>
            <w:hideMark/>
          </w:tcPr>
          <w:p w14:paraId="65D486E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w:t>
            </w:r>
          </w:p>
        </w:tc>
        <w:tc>
          <w:tcPr>
            <w:tcW w:w="340" w:type="dxa"/>
            <w:tcBorders>
              <w:top w:val="nil"/>
              <w:left w:val="nil"/>
              <w:bottom w:val="nil"/>
              <w:right w:val="nil"/>
            </w:tcBorders>
            <w:shd w:val="clear" w:color="000000" w:fill="FFFFFF"/>
            <w:noWrap/>
            <w:vAlign w:val="center"/>
            <w:hideMark/>
          </w:tcPr>
          <w:p w14:paraId="2548E8C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8" w:type="dxa"/>
            <w:tcBorders>
              <w:top w:val="nil"/>
              <w:left w:val="nil"/>
              <w:bottom w:val="nil"/>
              <w:right w:val="nil"/>
            </w:tcBorders>
            <w:shd w:val="clear" w:color="000000" w:fill="FFFFFF"/>
            <w:noWrap/>
            <w:vAlign w:val="center"/>
            <w:hideMark/>
          </w:tcPr>
          <w:p w14:paraId="7917A483" w14:textId="6CFEB45C"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-52%</w:t>
            </w:r>
          </w:p>
        </w:tc>
        <w:tc>
          <w:tcPr>
            <w:tcW w:w="890" w:type="dxa"/>
            <w:tcBorders>
              <w:top w:val="nil"/>
              <w:left w:val="nil"/>
              <w:bottom w:val="nil"/>
              <w:right w:val="nil"/>
            </w:tcBorders>
            <w:shd w:val="clear" w:color="000000" w:fill="FFFFFF"/>
            <w:noWrap/>
            <w:vAlign w:val="center"/>
            <w:hideMark/>
          </w:tcPr>
          <w:p w14:paraId="1B0F1D98" w14:textId="2415A243"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-66%</w:t>
            </w:r>
          </w:p>
        </w:tc>
        <w:tc>
          <w:tcPr>
            <w:tcW w:w="1162" w:type="dxa"/>
            <w:tcBorders>
              <w:top w:val="nil"/>
              <w:left w:val="nil"/>
              <w:bottom w:val="nil"/>
              <w:right w:val="nil"/>
            </w:tcBorders>
            <w:shd w:val="clear" w:color="000000" w:fill="FFFFFF"/>
            <w:noWrap/>
            <w:vAlign w:val="center"/>
            <w:hideMark/>
          </w:tcPr>
          <w:p w14:paraId="2DEF0831" w14:textId="518A5FCF"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-52%</w:t>
            </w:r>
          </w:p>
        </w:tc>
        <w:tc>
          <w:tcPr>
            <w:tcW w:w="890" w:type="dxa"/>
            <w:tcBorders>
              <w:top w:val="nil"/>
              <w:left w:val="nil"/>
              <w:bottom w:val="nil"/>
              <w:right w:val="nil"/>
            </w:tcBorders>
            <w:shd w:val="clear" w:color="000000" w:fill="FFFFFF"/>
            <w:noWrap/>
            <w:vAlign w:val="center"/>
            <w:hideMark/>
          </w:tcPr>
          <w:p w14:paraId="461A0D94" w14:textId="0A927A4F"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-39%</w:t>
            </w:r>
          </w:p>
        </w:tc>
      </w:tr>
      <w:tr w:rsidR="00D47A5D" w:rsidRPr="00D47A5D" w14:paraId="31C38131" w14:textId="77777777" w:rsidTr="00D47A5D">
        <w:trPr>
          <w:trHeight w:val="288"/>
        </w:trPr>
        <w:tc>
          <w:tcPr>
            <w:tcW w:w="2440" w:type="dxa"/>
            <w:tcBorders>
              <w:top w:val="nil"/>
              <w:left w:val="nil"/>
              <w:bottom w:val="single" w:sz="4" w:space="0" w:color="auto"/>
              <w:right w:val="nil"/>
            </w:tcBorders>
            <w:shd w:val="clear" w:color="000000" w:fill="FFFFFF"/>
            <w:noWrap/>
            <w:vAlign w:val="bottom"/>
            <w:hideMark/>
          </w:tcPr>
          <w:p w14:paraId="20542A3F"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White</w:t>
            </w:r>
          </w:p>
        </w:tc>
        <w:tc>
          <w:tcPr>
            <w:tcW w:w="960" w:type="dxa"/>
            <w:tcBorders>
              <w:top w:val="nil"/>
              <w:left w:val="nil"/>
              <w:bottom w:val="single" w:sz="4" w:space="0" w:color="auto"/>
              <w:right w:val="nil"/>
            </w:tcBorders>
            <w:shd w:val="clear" w:color="000000" w:fill="FFFFFF"/>
            <w:noWrap/>
            <w:vAlign w:val="center"/>
            <w:hideMark/>
          </w:tcPr>
          <w:p w14:paraId="57E56B2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72%</w:t>
            </w:r>
          </w:p>
        </w:tc>
        <w:tc>
          <w:tcPr>
            <w:tcW w:w="960" w:type="dxa"/>
            <w:tcBorders>
              <w:top w:val="nil"/>
              <w:left w:val="nil"/>
              <w:bottom w:val="single" w:sz="4" w:space="0" w:color="auto"/>
              <w:right w:val="nil"/>
            </w:tcBorders>
            <w:shd w:val="clear" w:color="000000" w:fill="FFFFFF"/>
            <w:noWrap/>
            <w:vAlign w:val="center"/>
            <w:hideMark/>
          </w:tcPr>
          <w:p w14:paraId="174CC72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54%</w:t>
            </w:r>
          </w:p>
        </w:tc>
        <w:tc>
          <w:tcPr>
            <w:tcW w:w="340" w:type="dxa"/>
            <w:tcBorders>
              <w:top w:val="nil"/>
              <w:left w:val="nil"/>
              <w:bottom w:val="single" w:sz="4" w:space="0" w:color="auto"/>
              <w:right w:val="nil"/>
            </w:tcBorders>
            <w:shd w:val="clear" w:color="000000" w:fill="FFFFFF"/>
            <w:noWrap/>
            <w:vAlign w:val="center"/>
            <w:hideMark/>
          </w:tcPr>
          <w:p w14:paraId="77820DE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98" w:type="dxa"/>
            <w:tcBorders>
              <w:top w:val="nil"/>
              <w:left w:val="nil"/>
              <w:bottom w:val="single" w:sz="4" w:space="0" w:color="auto"/>
              <w:right w:val="nil"/>
            </w:tcBorders>
            <w:shd w:val="clear" w:color="000000" w:fill="FFFFFF"/>
            <w:noWrap/>
            <w:vAlign w:val="center"/>
            <w:hideMark/>
          </w:tcPr>
          <w:p w14:paraId="535BF065" w14:textId="025A2D54"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w:t>
            </w:r>
          </w:p>
        </w:tc>
        <w:tc>
          <w:tcPr>
            <w:tcW w:w="890" w:type="dxa"/>
            <w:tcBorders>
              <w:top w:val="nil"/>
              <w:left w:val="nil"/>
              <w:bottom w:val="single" w:sz="4" w:space="0" w:color="auto"/>
              <w:right w:val="nil"/>
            </w:tcBorders>
            <w:shd w:val="clear" w:color="000000" w:fill="FFFFFF"/>
            <w:noWrap/>
            <w:vAlign w:val="center"/>
            <w:hideMark/>
          </w:tcPr>
          <w:p w14:paraId="0922233E" w14:textId="5889A563"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-19%</w:t>
            </w:r>
          </w:p>
        </w:tc>
        <w:tc>
          <w:tcPr>
            <w:tcW w:w="1162" w:type="dxa"/>
            <w:tcBorders>
              <w:top w:val="nil"/>
              <w:left w:val="nil"/>
              <w:bottom w:val="single" w:sz="4" w:space="0" w:color="auto"/>
              <w:right w:val="nil"/>
            </w:tcBorders>
            <w:shd w:val="clear" w:color="000000" w:fill="FFFFFF"/>
            <w:noWrap/>
            <w:vAlign w:val="center"/>
            <w:hideMark/>
          </w:tcPr>
          <w:p w14:paraId="7DAEBF1C" w14:textId="448A5959"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-14%</w:t>
            </w:r>
          </w:p>
        </w:tc>
        <w:tc>
          <w:tcPr>
            <w:tcW w:w="890" w:type="dxa"/>
            <w:tcBorders>
              <w:top w:val="nil"/>
              <w:left w:val="nil"/>
              <w:bottom w:val="single" w:sz="4" w:space="0" w:color="auto"/>
              <w:right w:val="nil"/>
            </w:tcBorders>
            <w:shd w:val="clear" w:color="000000" w:fill="FFFFFF"/>
            <w:noWrap/>
            <w:vAlign w:val="center"/>
            <w:hideMark/>
          </w:tcPr>
          <w:p w14:paraId="33E6A13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w:t>
            </w:r>
          </w:p>
        </w:tc>
      </w:tr>
    </w:tbl>
    <w:p w14:paraId="4422CF5A" w14:textId="5871AC16" w:rsidR="00044A7B" w:rsidRDefault="00044A7B" w:rsidP="0005314C">
      <w:pPr>
        <w:autoSpaceDE w:val="0"/>
        <w:autoSpaceDN w:val="0"/>
        <w:adjustRightInd w:val="0"/>
        <w:spacing w:after="0" w:line="240" w:lineRule="auto"/>
        <w:ind w:firstLine="720"/>
        <w:rPr>
          <w:rFonts w:ascii="Calibri" w:hAnsi="Calibri" w:cs="Calibri"/>
          <w:color w:val="000000"/>
        </w:rPr>
      </w:pPr>
    </w:p>
    <w:p w14:paraId="434145DF" w14:textId="77777777" w:rsidR="009D4CE6" w:rsidRPr="0005314C" w:rsidRDefault="009D4CE6" w:rsidP="00C42A23">
      <w:pPr>
        <w:autoSpaceDE w:val="0"/>
        <w:autoSpaceDN w:val="0"/>
        <w:adjustRightInd w:val="0"/>
        <w:spacing w:after="0" w:line="240" w:lineRule="auto"/>
        <w:rPr>
          <w:rFonts w:ascii="Calibri" w:hAnsi="Calibri" w:cs="Calibri"/>
          <w:b/>
          <w:bCs/>
          <w:color w:val="000000"/>
          <w:sz w:val="28"/>
          <w:szCs w:val="28"/>
        </w:rPr>
      </w:pPr>
    </w:p>
    <w:p w14:paraId="03E9F719" w14:textId="5DE0DECE" w:rsidR="00837BD5" w:rsidRDefault="00044A7B" w:rsidP="000F50BE">
      <w:pPr>
        <w:autoSpaceDE w:val="0"/>
        <w:autoSpaceDN w:val="0"/>
        <w:adjustRightInd w:val="0"/>
        <w:spacing w:after="0" w:line="240" w:lineRule="auto"/>
        <w:ind w:firstLine="720"/>
        <w:rPr>
          <w:rFonts w:cstheme="minorHAnsi"/>
        </w:rPr>
      </w:pPr>
      <w:r>
        <w:rPr>
          <w:rFonts w:ascii="Calibri" w:hAnsi="Calibri" w:cs="Calibri"/>
          <w:color w:val="000000"/>
        </w:rPr>
        <w:t xml:space="preserve">Cluster </w:t>
      </w:r>
      <w:r w:rsidR="000F50BE">
        <w:rPr>
          <w:rFonts w:ascii="Calibri" w:hAnsi="Calibri" w:cs="Calibri"/>
          <w:color w:val="000000"/>
        </w:rPr>
        <w:t xml:space="preserve">5 includes </w:t>
      </w:r>
      <w:r w:rsidR="0050324E">
        <w:rPr>
          <w:rFonts w:ascii="Calibri" w:hAnsi="Calibri" w:cs="Calibri"/>
          <w:color w:val="000000"/>
        </w:rPr>
        <w:t>74</w:t>
      </w:r>
      <w:r w:rsidR="000F50BE">
        <w:rPr>
          <w:rFonts w:ascii="Calibri" w:hAnsi="Calibri" w:cs="Calibri"/>
          <w:color w:val="000000"/>
        </w:rPr>
        <w:t xml:space="preserve"> suburban census tracts notably </w:t>
      </w:r>
      <w:r w:rsidR="004028E2" w:rsidRPr="00BE37B5">
        <w:rPr>
          <w:rFonts w:cstheme="minorHAnsi"/>
        </w:rPr>
        <w:t xml:space="preserve">concentrated along </w:t>
      </w:r>
      <w:r w:rsidR="00837BD5">
        <w:rPr>
          <w:rFonts w:cstheme="minorHAnsi"/>
        </w:rPr>
        <w:t>Nashville’s</w:t>
      </w:r>
      <w:r w:rsidR="004028E2" w:rsidRPr="00BE37B5">
        <w:rPr>
          <w:rFonts w:cstheme="minorHAnsi"/>
        </w:rPr>
        <w:t xml:space="preserve"> major northeastern </w:t>
      </w:r>
      <w:r w:rsidR="00837BD5">
        <w:rPr>
          <w:rFonts w:cstheme="minorHAnsi"/>
        </w:rPr>
        <w:t xml:space="preserve">(I-65) </w:t>
      </w:r>
      <w:r w:rsidR="004028E2" w:rsidRPr="00BE37B5">
        <w:rPr>
          <w:rFonts w:cstheme="minorHAnsi"/>
        </w:rPr>
        <w:t>and southeastern</w:t>
      </w:r>
      <w:r w:rsidR="00837BD5">
        <w:rPr>
          <w:rFonts w:cstheme="minorHAnsi"/>
        </w:rPr>
        <w:t xml:space="preserve"> (I-24)</w:t>
      </w:r>
      <w:r w:rsidR="004028E2" w:rsidRPr="00BE37B5">
        <w:rPr>
          <w:rFonts w:cstheme="minorHAnsi"/>
        </w:rPr>
        <w:t xml:space="preserve"> interstate</w:t>
      </w:r>
      <w:r w:rsidR="00837BD5">
        <w:rPr>
          <w:rFonts w:cstheme="minorHAnsi"/>
        </w:rPr>
        <w:t>s</w:t>
      </w:r>
      <w:r w:rsidR="004028E2" w:rsidRPr="00BE37B5">
        <w:rPr>
          <w:rFonts w:cstheme="minorHAnsi"/>
        </w:rPr>
        <w:t xml:space="preserve">. </w:t>
      </w:r>
      <w:r w:rsidR="0005314C">
        <w:rPr>
          <w:rFonts w:cstheme="minorHAnsi"/>
        </w:rPr>
        <w:t xml:space="preserve">While home (+14%) and rent (+10%) values increased, they </w:t>
      </w:r>
      <w:r w:rsidR="00C75B63">
        <w:rPr>
          <w:rFonts w:cstheme="minorHAnsi"/>
        </w:rPr>
        <w:t>remained</w:t>
      </w:r>
      <w:r w:rsidR="0005314C">
        <w:rPr>
          <w:rFonts w:cstheme="minorHAnsi"/>
        </w:rPr>
        <w:t xml:space="preserve"> well below Davidson County averages (+53% and +</w:t>
      </w:r>
      <w:r w:rsidR="0050324E">
        <w:rPr>
          <w:rFonts w:cstheme="minorHAnsi"/>
        </w:rPr>
        <w:t>29</w:t>
      </w:r>
      <w:r w:rsidR="0005314C">
        <w:rPr>
          <w:rFonts w:cstheme="minorHAnsi"/>
        </w:rPr>
        <w:t xml:space="preserve">%, respectively). </w:t>
      </w:r>
      <w:r w:rsidR="00C75B63">
        <w:rPr>
          <w:rFonts w:cstheme="minorHAnsi"/>
        </w:rPr>
        <w:t>Household income</w:t>
      </w:r>
      <w:r w:rsidR="00837BD5">
        <w:rPr>
          <w:rFonts w:cstheme="minorHAnsi"/>
        </w:rPr>
        <w:t>s</w:t>
      </w:r>
      <w:r w:rsidR="00C75B63">
        <w:rPr>
          <w:rFonts w:cstheme="minorHAnsi"/>
        </w:rPr>
        <w:t xml:space="preserve"> (-1</w:t>
      </w:r>
      <w:r w:rsidR="0050324E">
        <w:rPr>
          <w:rFonts w:cstheme="minorHAnsi"/>
        </w:rPr>
        <w:t>3</w:t>
      </w:r>
      <w:r w:rsidR="00C75B63">
        <w:rPr>
          <w:rFonts w:cstheme="minorHAnsi"/>
        </w:rPr>
        <w:t>%) and proportion of white residents (-1</w:t>
      </w:r>
      <w:r w:rsidR="0050324E">
        <w:rPr>
          <w:rFonts w:cstheme="minorHAnsi"/>
        </w:rPr>
        <w:t>2</w:t>
      </w:r>
      <w:r w:rsidR="00C75B63">
        <w:rPr>
          <w:rFonts w:cstheme="minorHAnsi"/>
        </w:rPr>
        <w:t>%)</w:t>
      </w:r>
      <w:r w:rsidR="0005314C">
        <w:rPr>
          <w:rFonts w:cstheme="minorHAnsi"/>
        </w:rPr>
        <w:t xml:space="preserve"> </w:t>
      </w:r>
      <w:r w:rsidR="009D4CE6">
        <w:rPr>
          <w:rFonts w:cstheme="minorHAnsi"/>
        </w:rPr>
        <w:t>both decreased, while multi-unit housing (+</w:t>
      </w:r>
      <w:r w:rsidR="0050324E">
        <w:rPr>
          <w:rFonts w:cstheme="minorHAnsi"/>
        </w:rPr>
        <w:t>3</w:t>
      </w:r>
      <w:r w:rsidR="009D4CE6">
        <w:rPr>
          <w:rFonts w:cstheme="minorHAnsi"/>
        </w:rPr>
        <w:t xml:space="preserve">%) increased. </w:t>
      </w:r>
      <w:r w:rsidR="0050324E">
        <w:rPr>
          <w:rFonts w:cstheme="minorHAnsi"/>
        </w:rPr>
        <w:t>These areas represent possible relocation areas for those displaced from gentrifying inner-city areas.</w:t>
      </w:r>
    </w:p>
    <w:p w14:paraId="2BC28581" w14:textId="60886939" w:rsidR="00044A7B" w:rsidRDefault="00044A7B" w:rsidP="000F50BE">
      <w:pPr>
        <w:autoSpaceDE w:val="0"/>
        <w:autoSpaceDN w:val="0"/>
        <w:adjustRightInd w:val="0"/>
        <w:spacing w:after="0" w:line="240" w:lineRule="auto"/>
        <w:ind w:firstLine="720"/>
        <w:rPr>
          <w:rFonts w:cstheme="minorHAnsi"/>
        </w:rPr>
      </w:pPr>
    </w:p>
    <w:p w14:paraId="4A2E2820" w14:textId="3C6079E4" w:rsidR="00044A7B" w:rsidRPr="009E185D" w:rsidRDefault="00044A7B" w:rsidP="00044A7B">
      <w:pPr>
        <w:pStyle w:val="Caption"/>
        <w:keepNext/>
        <w:jc w:val="center"/>
        <w:rPr>
          <w:sz w:val="20"/>
          <w:szCs w:val="20"/>
        </w:rPr>
      </w:pPr>
      <w:r w:rsidRPr="009E185D">
        <w:rPr>
          <w:sz w:val="20"/>
          <w:szCs w:val="20"/>
        </w:rPr>
        <w:t xml:space="preserve">Table </w:t>
      </w:r>
      <w:r w:rsidR="008E7477" w:rsidRPr="009E185D">
        <w:rPr>
          <w:sz w:val="20"/>
          <w:szCs w:val="20"/>
        </w:rPr>
        <w:fldChar w:fldCharType="begin"/>
      </w:r>
      <w:r w:rsidR="008E7477" w:rsidRPr="009E185D">
        <w:rPr>
          <w:sz w:val="20"/>
          <w:szCs w:val="20"/>
        </w:rPr>
        <w:instrText xml:space="preserve"> SEQ Table \* ARABIC </w:instrText>
      </w:r>
      <w:r w:rsidR="008E7477" w:rsidRPr="009E185D">
        <w:rPr>
          <w:sz w:val="20"/>
          <w:szCs w:val="20"/>
        </w:rPr>
        <w:fldChar w:fldCharType="separate"/>
      </w:r>
      <w:r w:rsidRPr="009E185D">
        <w:rPr>
          <w:noProof/>
          <w:sz w:val="20"/>
          <w:szCs w:val="20"/>
        </w:rPr>
        <w:t>8</w:t>
      </w:r>
      <w:r w:rsidR="008E7477" w:rsidRPr="009E185D">
        <w:rPr>
          <w:noProof/>
          <w:sz w:val="20"/>
          <w:szCs w:val="20"/>
        </w:rPr>
        <w:fldChar w:fldCharType="end"/>
      </w:r>
      <w:r w:rsidRPr="009E185D">
        <w:rPr>
          <w:sz w:val="20"/>
          <w:szCs w:val="20"/>
        </w:rPr>
        <w:t>. Cluster 5 summary statistics</w:t>
      </w:r>
    </w:p>
    <w:tbl>
      <w:tblPr>
        <w:tblW w:w="8540" w:type="dxa"/>
        <w:tblLook w:val="04A0" w:firstRow="1" w:lastRow="0" w:firstColumn="1" w:lastColumn="0" w:noHBand="0" w:noVBand="1"/>
      </w:tblPr>
      <w:tblGrid>
        <w:gridCol w:w="2440"/>
        <w:gridCol w:w="976"/>
        <w:gridCol w:w="976"/>
        <w:gridCol w:w="340"/>
        <w:gridCol w:w="866"/>
        <w:gridCol w:w="859"/>
        <w:gridCol w:w="1121"/>
        <w:gridCol w:w="994"/>
      </w:tblGrid>
      <w:tr w:rsidR="00D47A5D" w:rsidRPr="00D47A5D" w14:paraId="7FB4BB0E" w14:textId="77777777" w:rsidTr="00D47A5D">
        <w:trPr>
          <w:trHeight w:val="288"/>
        </w:trPr>
        <w:tc>
          <w:tcPr>
            <w:tcW w:w="2440" w:type="dxa"/>
            <w:vMerge w:val="restart"/>
            <w:tcBorders>
              <w:top w:val="single" w:sz="4" w:space="0" w:color="auto"/>
              <w:left w:val="nil"/>
              <w:bottom w:val="single" w:sz="4" w:space="0" w:color="000000"/>
              <w:right w:val="nil"/>
            </w:tcBorders>
            <w:shd w:val="clear" w:color="000000" w:fill="FFFFFF"/>
            <w:noWrap/>
            <w:vAlign w:val="center"/>
            <w:hideMark/>
          </w:tcPr>
          <w:p w14:paraId="37206389"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Cluster 5 (n=74)</w:t>
            </w:r>
          </w:p>
        </w:tc>
        <w:tc>
          <w:tcPr>
            <w:tcW w:w="960" w:type="dxa"/>
            <w:tcBorders>
              <w:top w:val="single" w:sz="4" w:space="0" w:color="auto"/>
              <w:left w:val="nil"/>
              <w:bottom w:val="nil"/>
              <w:right w:val="nil"/>
            </w:tcBorders>
            <w:shd w:val="clear" w:color="000000" w:fill="FFFFFF"/>
            <w:noWrap/>
            <w:vAlign w:val="center"/>
            <w:hideMark/>
          </w:tcPr>
          <w:p w14:paraId="70974799"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2000</w:t>
            </w:r>
          </w:p>
        </w:tc>
        <w:tc>
          <w:tcPr>
            <w:tcW w:w="960" w:type="dxa"/>
            <w:tcBorders>
              <w:top w:val="single" w:sz="4" w:space="0" w:color="auto"/>
              <w:left w:val="nil"/>
              <w:bottom w:val="nil"/>
              <w:right w:val="nil"/>
            </w:tcBorders>
            <w:shd w:val="clear" w:color="000000" w:fill="FFFFFF"/>
            <w:noWrap/>
            <w:vAlign w:val="center"/>
            <w:hideMark/>
          </w:tcPr>
          <w:p w14:paraId="76A2A7B3"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2019</w:t>
            </w:r>
          </w:p>
        </w:tc>
        <w:tc>
          <w:tcPr>
            <w:tcW w:w="340" w:type="dxa"/>
            <w:tcBorders>
              <w:top w:val="single" w:sz="4" w:space="0" w:color="auto"/>
              <w:left w:val="nil"/>
              <w:bottom w:val="nil"/>
              <w:right w:val="nil"/>
            </w:tcBorders>
            <w:shd w:val="clear" w:color="000000" w:fill="FFFFFF"/>
            <w:noWrap/>
            <w:vAlign w:val="center"/>
            <w:hideMark/>
          </w:tcPr>
          <w:p w14:paraId="59086640"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 </w:t>
            </w:r>
          </w:p>
        </w:tc>
        <w:tc>
          <w:tcPr>
            <w:tcW w:w="3840" w:type="dxa"/>
            <w:gridSpan w:val="4"/>
            <w:tcBorders>
              <w:top w:val="single" w:sz="4" w:space="0" w:color="auto"/>
              <w:left w:val="nil"/>
              <w:bottom w:val="nil"/>
              <w:right w:val="nil"/>
            </w:tcBorders>
            <w:shd w:val="clear" w:color="000000" w:fill="FFFFFF"/>
            <w:noWrap/>
            <w:vAlign w:val="center"/>
            <w:hideMark/>
          </w:tcPr>
          <w:p w14:paraId="32479891" w14:textId="77777777" w:rsidR="00D47A5D" w:rsidRPr="00D47A5D" w:rsidRDefault="00D47A5D" w:rsidP="00D47A5D">
            <w:pPr>
              <w:spacing w:after="0" w:line="240" w:lineRule="auto"/>
              <w:jc w:val="center"/>
              <w:rPr>
                <w:rFonts w:ascii="Calibri" w:eastAsia="Times New Roman" w:hAnsi="Calibri" w:cs="Calibri"/>
                <w:b/>
                <w:bCs/>
                <w:color w:val="000000"/>
                <w:sz w:val="20"/>
                <w:szCs w:val="20"/>
              </w:rPr>
            </w:pPr>
            <w:r w:rsidRPr="00D47A5D">
              <w:rPr>
                <w:rFonts w:ascii="Calibri" w:eastAsia="Times New Roman" w:hAnsi="Calibri" w:cs="Calibri"/>
                <w:b/>
                <w:bCs/>
                <w:color w:val="000000"/>
                <w:sz w:val="20"/>
                <w:szCs w:val="20"/>
              </w:rPr>
              <w:t>Percent Change</w:t>
            </w:r>
          </w:p>
        </w:tc>
      </w:tr>
      <w:tr w:rsidR="00D47A5D" w:rsidRPr="00D47A5D" w14:paraId="1EF87B87" w14:textId="77777777" w:rsidTr="00D47A5D">
        <w:trPr>
          <w:trHeight w:val="288"/>
        </w:trPr>
        <w:tc>
          <w:tcPr>
            <w:tcW w:w="2440" w:type="dxa"/>
            <w:vMerge/>
            <w:tcBorders>
              <w:top w:val="single" w:sz="4" w:space="0" w:color="auto"/>
              <w:left w:val="nil"/>
              <w:bottom w:val="single" w:sz="4" w:space="0" w:color="000000"/>
              <w:right w:val="nil"/>
            </w:tcBorders>
            <w:vAlign w:val="center"/>
            <w:hideMark/>
          </w:tcPr>
          <w:p w14:paraId="5378F3C2" w14:textId="77777777" w:rsidR="00D47A5D" w:rsidRPr="00D47A5D" w:rsidRDefault="00D47A5D" w:rsidP="00D47A5D">
            <w:pPr>
              <w:spacing w:after="0" w:line="240" w:lineRule="auto"/>
              <w:rPr>
                <w:rFonts w:ascii="Calibri" w:eastAsia="Times New Roman" w:hAnsi="Calibri" w:cs="Calibri"/>
                <w:b/>
                <w:bCs/>
                <w:color w:val="000000"/>
                <w:sz w:val="20"/>
                <w:szCs w:val="20"/>
              </w:rPr>
            </w:pPr>
          </w:p>
        </w:tc>
        <w:tc>
          <w:tcPr>
            <w:tcW w:w="960" w:type="dxa"/>
            <w:tcBorders>
              <w:top w:val="nil"/>
              <w:left w:val="nil"/>
              <w:bottom w:val="single" w:sz="4" w:space="0" w:color="auto"/>
              <w:right w:val="nil"/>
            </w:tcBorders>
            <w:shd w:val="clear" w:color="000000" w:fill="FFFFFF"/>
            <w:noWrap/>
            <w:vAlign w:val="center"/>
            <w:hideMark/>
          </w:tcPr>
          <w:p w14:paraId="622C3410"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60" w:type="dxa"/>
            <w:tcBorders>
              <w:top w:val="nil"/>
              <w:left w:val="nil"/>
              <w:bottom w:val="single" w:sz="4" w:space="0" w:color="auto"/>
              <w:right w:val="nil"/>
            </w:tcBorders>
            <w:shd w:val="clear" w:color="000000" w:fill="FFFFFF"/>
            <w:noWrap/>
            <w:vAlign w:val="center"/>
            <w:hideMark/>
          </w:tcPr>
          <w:p w14:paraId="54D63ACE"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340" w:type="dxa"/>
            <w:tcBorders>
              <w:top w:val="nil"/>
              <w:left w:val="nil"/>
              <w:bottom w:val="single" w:sz="4" w:space="0" w:color="auto"/>
              <w:right w:val="nil"/>
            </w:tcBorders>
            <w:shd w:val="clear" w:color="000000" w:fill="FFFFFF"/>
            <w:noWrap/>
            <w:vAlign w:val="center"/>
            <w:hideMark/>
          </w:tcPr>
          <w:p w14:paraId="399AC761"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 </w:t>
            </w:r>
          </w:p>
        </w:tc>
        <w:tc>
          <w:tcPr>
            <w:tcW w:w="866" w:type="dxa"/>
            <w:tcBorders>
              <w:top w:val="nil"/>
              <w:left w:val="nil"/>
              <w:bottom w:val="single" w:sz="4" w:space="0" w:color="auto"/>
              <w:right w:val="nil"/>
            </w:tcBorders>
            <w:shd w:val="clear" w:color="000000" w:fill="FFFFFF"/>
            <w:noWrap/>
            <w:vAlign w:val="center"/>
            <w:hideMark/>
          </w:tcPr>
          <w:p w14:paraId="01DFA637"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Mean</w:t>
            </w:r>
          </w:p>
        </w:tc>
        <w:tc>
          <w:tcPr>
            <w:tcW w:w="859" w:type="dxa"/>
            <w:tcBorders>
              <w:top w:val="nil"/>
              <w:left w:val="nil"/>
              <w:bottom w:val="single" w:sz="4" w:space="0" w:color="auto"/>
              <w:right w:val="nil"/>
            </w:tcBorders>
            <w:shd w:val="clear" w:color="000000" w:fill="FFFFFF"/>
            <w:noWrap/>
            <w:vAlign w:val="center"/>
            <w:hideMark/>
          </w:tcPr>
          <w:p w14:paraId="7BF83483"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Min.</w:t>
            </w:r>
          </w:p>
        </w:tc>
        <w:tc>
          <w:tcPr>
            <w:tcW w:w="1121" w:type="dxa"/>
            <w:tcBorders>
              <w:top w:val="nil"/>
              <w:left w:val="nil"/>
              <w:bottom w:val="single" w:sz="4" w:space="0" w:color="auto"/>
              <w:right w:val="nil"/>
            </w:tcBorders>
            <w:shd w:val="clear" w:color="000000" w:fill="FFFFFF"/>
            <w:noWrap/>
            <w:vAlign w:val="center"/>
            <w:hideMark/>
          </w:tcPr>
          <w:p w14:paraId="7C03900E"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Median</w:t>
            </w:r>
          </w:p>
        </w:tc>
        <w:tc>
          <w:tcPr>
            <w:tcW w:w="994" w:type="dxa"/>
            <w:tcBorders>
              <w:top w:val="nil"/>
              <w:left w:val="nil"/>
              <w:bottom w:val="single" w:sz="4" w:space="0" w:color="auto"/>
              <w:right w:val="nil"/>
            </w:tcBorders>
            <w:shd w:val="clear" w:color="000000" w:fill="FFFFFF"/>
            <w:noWrap/>
            <w:vAlign w:val="center"/>
            <w:hideMark/>
          </w:tcPr>
          <w:p w14:paraId="2FBA73C8" w14:textId="77777777" w:rsidR="00D47A5D" w:rsidRPr="00D47A5D" w:rsidRDefault="00D47A5D" w:rsidP="00D47A5D">
            <w:pPr>
              <w:spacing w:after="0" w:line="240" w:lineRule="auto"/>
              <w:jc w:val="center"/>
              <w:rPr>
                <w:rFonts w:ascii="Calibri" w:eastAsia="Times New Roman" w:hAnsi="Calibri" w:cs="Calibri"/>
                <w:i/>
                <w:iCs/>
                <w:color w:val="000000"/>
                <w:sz w:val="20"/>
                <w:szCs w:val="20"/>
              </w:rPr>
            </w:pPr>
            <w:r w:rsidRPr="00D47A5D">
              <w:rPr>
                <w:rFonts w:ascii="Calibri" w:eastAsia="Times New Roman" w:hAnsi="Calibri" w:cs="Calibri"/>
                <w:i/>
                <w:iCs/>
                <w:color w:val="000000"/>
                <w:sz w:val="20"/>
                <w:szCs w:val="20"/>
              </w:rPr>
              <w:t>Max.</w:t>
            </w:r>
          </w:p>
        </w:tc>
      </w:tr>
      <w:tr w:rsidR="00D47A5D" w:rsidRPr="00D47A5D" w14:paraId="69D75918" w14:textId="77777777" w:rsidTr="00D47A5D">
        <w:trPr>
          <w:trHeight w:val="288"/>
        </w:trPr>
        <w:tc>
          <w:tcPr>
            <w:tcW w:w="2440" w:type="dxa"/>
            <w:tcBorders>
              <w:top w:val="nil"/>
              <w:left w:val="nil"/>
              <w:bottom w:val="nil"/>
              <w:right w:val="nil"/>
            </w:tcBorders>
            <w:shd w:val="clear" w:color="000000" w:fill="FFFFFF"/>
            <w:noWrap/>
            <w:vAlign w:val="bottom"/>
            <w:hideMark/>
          </w:tcPr>
          <w:p w14:paraId="3DA7A28A"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63136052"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60" w:type="dxa"/>
            <w:tcBorders>
              <w:top w:val="nil"/>
              <w:left w:val="nil"/>
              <w:bottom w:val="nil"/>
              <w:right w:val="nil"/>
            </w:tcBorders>
            <w:shd w:val="clear" w:color="000000" w:fill="FFFFFF"/>
            <w:noWrap/>
            <w:vAlign w:val="bottom"/>
            <w:hideMark/>
          </w:tcPr>
          <w:p w14:paraId="796321F9"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340" w:type="dxa"/>
            <w:tcBorders>
              <w:top w:val="nil"/>
              <w:left w:val="nil"/>
              <w:bottom w:val="nil"/>
              <w:right w:val="nil"/>
            </w:tcBorders>
            <w:shd w:val="clear" w:color="000000" w:fill="FFFFFF"/>
            <w:noWrap/>
            <w:vAlign w:val="bottom"/>
            <w:hideMark/>
          </w:tcPr>
          <w:p w14:paraId="6B1B34C8"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bottom"/>
            <w:hideMark/>
          </w:tcPr>
          <w:p w14:paraId="0DC4C915"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59" w:type="dxa"/>
            <w:tcBorders>
              <w:top w:val="nil"/>
              <w:left w:val="nil"/>
              <w:bottom w:val="nil"/>
              <w:right w:val="nil"/>
            </w:tcBorders>
            <w:shd w:val="clear" w:color="000000" w:fill="FFFFFF"/>
            <w:noWrap/>
            <w:vAlign w:val="bottom"/>
            <w:hideMark/>
          </w:tcPr>
          <w:p w14:paraId="5162D7CF"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1121" w:type="dxa"/>
            <w:tcBorders>
              <w:top w:val="nil"/>
              <w:left w:val="nil"/>
              <w:bottom w:val="nil"/>
              <w:right w:val="nil"/>
            </w:tcBorders>
            <w:shd w:val="clear" w:color="000000" w:fill="FFFFFF"/>
            <w:noWrap/>
            <w:vAlign w:val="bottom"/>
            <w:hideMark/>
          </w:tcPr>
          <w:p w14:paraId="57FE0E58"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994" w:type="dxa"/>
            <w:tcBorders>
              <w:top w:val="nil"/>
              <w:left w:val="nil"/>
              <w:bottom w:val="nil"/>
              <w:right w:val="nil"/>
            </w:tcBorders>
            <w:shd w:val="clear" w:color="000000" w:fill="FFFFFF"/>
            <w:noWrap/>
            <w:vAlign w:val="bottom"/>
            <w:hideMark/>
          </w:tcPr>
          <w:p w14:paraId="48792042"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r>
      <w:tr w:rsidR="00D47A5D" w:rsidRPr="00D47A5D" w14:paraId="56A1C9A5" w14:textId="77777777" w:rsidTr="00D47A5D">
        <w:trPr>
          <w:trHeight w:val="288"/>
        </w:trPr>
        <w:tc>
          <w:tcPr>
            <w:tcW w:w="2440" w:type="dxa"/>
            <w:tcBorders>
              <w:top w:val="nil"/>
              <w:left w:val="nil"/>
              <w:bottom w:val="nil"/>
              <w:right w:val="nil"/>
            </w:tcBorders>
            <w:shd w:val="clear" w:color="000000" w:fill="FFFFFF"/>
            <w:noWrap/>
            <w:vAlign w:val="bottom"/>
            <w:hideMark/>
          </w:tcPr>
          <w:p w14:paraId="0581D4C0"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Home Value</w:t>
            </w:r>
          </w:p>
        </w:tc>
        <w:tc>
          <w:tcPr>
            <w:tcW w:w="960" w:type="dxa"/>
            <w:tcBorders>
              <w:top w:val="nil"/>
              <w:left w:val="nil"/>
              <w:bottom w:val="nil"/>
              <w:right w:val="nil"/>
            </w:tcBorders>
            <w:shd w:val="clear" w:color="000000" w:fill="FFFFFF"/>
            <w:noWrap/>
            <w:vAlign w:val="center"/>
            <w:hideMark/>
          </w:tcPr>
          <w:p w14:paraId="60CB73D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$158,492</w:t>
            </w:r>
          </w:p>
        </w:tc>
        <w:tc>
          <w:tcPr>
            <w:tcW w:w="960" w:type="dxa"/>
            <w:tcBorders>
              <w:top w:val="nil"/>
              <w:left w:val="nil"/>
              <w:bottom w:val="nil"/>
              <w:right w:val="nil"/>
            </w:tcBorders>
            <w:shd w:val="clear" w:color="000000" w:fill="FFFFFF"/>
            <w:noWrap/>
            <w:vAlign w:val="center"/>
            <w:hideMark/>
          </w:tcPr>
          <w:p w14:paraId="78289BE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$178,050</w:t>
            </w:r>
          </w:p>
        </w:tc>
        <w:tc>
          <w:tcPr>
            <w:tcW w:w="340" w:type="dxa"/>
            <w:tcBorders>
              <w:top w:val="nil"/>
              <w:left w:val="nil"/>
              <w:bottom w:val="nil"/>
              <w:right w:val="nil"/>
            </w:tcBorders>
            <w:shd w:val="clear" w:color="000000" w:fill="FFFFFF"/>
            <w:noWrap/>
            <w:vAlign w:val="center"/>
            <w:hideMark/>
          </w:tcPr>
          <w:p w14:paraId="48F1FD14"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0686D464"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+13%</w:t>
            </w:r>
          </w:p>
        </w:tc>
        <w:tc>
          <w:tcPr>
            <w:tcW w:w="859" w:type="dxa"/>
            <w:tcBorders>
              <w:top w:val="nil"/>
              <w:left w:val="nil"/>
              <w:bottom w:val="nil"/>
              <w:right w:val="nil"/>
            </w:tcBorders>
            <w:shd w:val="clear" w:color="000000" w:fill="FFFFFF"/>
            <w:noWrap/>
            <w:vAlign w:val="center"/>
            <w:hideMark/>
          </w:tcPr>
          <w:p w14:paraId="7D8EB7E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--23%</w:t>
            </w:r>
          </w:p>
        </w:tc>
        <w:tc>
          <w:tcPr>
            <w:tcW w:w="1121" w:type="dxa"/>
            <w:tcBorders>
              <w:top w:val="nil"/>
              <w:left w:val="nil"/>
              <w:bottom w:val="nil"/>
              <w:right w:val="nil"/>
            </w:tcBorders>
            <w:shd w:val="clear" w:color="000000" w:fill="FFFFFF"/>
            <w:noWrap/>
            <w:vAlign w:val="center"/>
            <w:hideMark/>
          </w:tcPr>
          <w:p w14:paraId="6732D06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+9%</w:t>
            </w:r>
          </w:p>
        </w:tc>
        <w:tc>
          <w:tcPr>
            <w:tcW w:w="994" w:type="dxa"/>
            <w:tcBorders>
              <w:top w:val="nil"/>
              <w:left w:val="nil"/>
              <w:bottom w:val="nil"/>
              <w:right w:val="nil"/>
            </w:tcBorders>
            <w:shd w:val="clear" w:color="000000" w:fill="FFFFFF"/>
            <w:noWrap/>
            <w:vAlign w:val="center"/>
            <w:hideMark/>
          </w:tcPr>
          <w:p w14:paraId="23718FA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+67%</w:t>
            </w:r>
          </w:p>
        </w:tc>
      </w:tr>
      <w:tr w:rsidR="00D47A5D" w:rsidRPr="00D47A5D" w14:paraId="06617540" w14:textId="77777777" w:rsidTr="00D47A5D">
        <w:trPr>
          <w:trHeight w:val="288"/>
        </w:trPr>
        <w:tc>
          <w:tcPr>
            <w:tcW w:w="2440" w:type="dxa"/>
            <w:tcBorders>
              <w:top w:val="nil"/>
              <w:left w:val="nil"/>
              <w:bottom w:val="nil"/>
              <w:right w:val="nil"/>
            </w:tcBorders>
            <w:shd w:val="clear" w:color="000000" w:fill="FFFFFF"/>
            <w:noWrap/>
            <w:vAlign w:val="bottom"/>
            <w:hideMark/>
          </w:tcPr>
          <w:p w14:paraId="17C1AB11"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Rent Value</w:t>
            </w:r>
          </w:p>
        </w:tc>
        <w:tc>
          <w:tcPr>
            <w:tcW w:w="960" w:type="dxa"/>
            <w:tcBorders>
              <w:top w:val="nil"/>
              <w:left w:val="nil"/>
              <w:bottom w:val="nil"/>
              <w:right w:val="nil"/>
            </w:tcBorders>
            <w:shd w:val="clear" w:color="000000" w:fill="FFFFFF"/>
            <w:noWrap/>
            <w:vAlign w:val="center"/>
            <w:hideMark/>
          </w:tcPr>
          <w:p w14:paraId="7BCC62C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$959</w:t>
            </w:r>
          </w:p>
        </w:tc>
        <w:tc>
          <w:tcPr>
            <w:tcW w:w="960" w:type="dxa"/>
            <w:tcBorders>
              <w:top w:val="nil"/>
              <w:left w:val="nil"/>
              <w:bottom w:val="nil"/>
              <w:right w:val="nil"/>
            </w:tcBorders>
            <w:shd w:val="clear" w:color="000000" w:fill="FFFFFF"/>
            <w:noWrap/>
            <w:vAlign w:val="center"/>
            <w:hideMark/>
          </w:tcPr>
          <w:p w14:paraId="6AF6173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$1,068</w:t>
            </w:r>
          </w:p>
        </w:tc>
        <w:tc>
          <w:tcPr>
            <w:tcW w:w="340" w:type="dxa"/>
            <w:tcBorders>
              <w:top w:val="nil"/>
              <w:left w:val="nil"/>
              <w:bottom w:val="nil"/>
              <w:right w:val="nil"/>
            </w:tcBorders>
            <w:shd w:val="clear" w:color="000000" w:fill="FFFFFF"/>
            <w:noWrap/>
            <w:vAlign w:val="center"/>
            <w:hideMark/>
          </w:tcPr>
          <w:p w14:paraId="7DE5E90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782AA7F5"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+15%</w:t>
            </w:r>
          </w:p>
        </w:tc>
        <w:tc>
          <w:tcPr>
            <w:tcW w:w="859" w:type="dxa"/>
            <w:tcBorders>
              <w:top w:val="nil"/>
              <w:left w:val="nil"/>
              <w:bottom w:val="nil"/>
              <w:right w:val="nil"/>
            </w:tcBorders>
            <w:shd w:val="clear" w:color="000000" w:fill="FFFFFF"/>
            <w:noWrap/>
            <w:vAlign w:val="center"/>
            <w:hideMark/>
          </w:tcPr>
          <w:p w14:paraId="177A552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--41%</w:t>
            </w:r>
          </w:p>
        </w:tc>
        <w:tc>
          <w:tcPr>
            <w:tcW w:w="1121" w:type="dxa"/>
            <w:tcBorders>
              <w:top w:val="nil"/>
              <w:left w:val="nil"/>
              <w:bottom w:val="nil"/>
              <w:right w:val="nil"/>
            </w:tcBorders>
            <w:shd w:val="clear" w:color="000000" w:fill="FFFFFF"/>
            <w:noWrap/>
            <w:vAlign w:val="center"/>
            <w:hideMark/>
          </w:tcPr>
          <w:p w14:paraId="4B22338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w:t>
            </w:r>
          </w:p>
        </w:tc>
        <w:tc>
          <w:tcPr>
            <w:tcW w:w="994" w:type="dxa"/>
            <w:tcBorders>
              <w:top w:val="nil"/>
              <w:left w:val="nil"/>
              <w:bottom w:val="nil"/>
              <w:right w:val="nil"/>
            </w:tcBorders>
            <w:shd w:val="clear" w:color="000000" w:fill="FFFFFF"/>
            <w:noWrap/>
            <w:vAlign w:val="center"/>
            <w:hideMark/>
          </w:tcPr>
          <w:p w14:paraId="7A1EB06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+106%</w:t>
            </w:r>
          </w:p>
        </w:tc>
      </w:tr>
      <w:tr w:rsidR="00D47A5D" w:rsidRPr="00D47A5D" w14:paraId="2A20E6AD" w14:textId="77777777" w:rsidTr="00D47A5D">
        <w:trPr>
          <w:trHeight w:val="288"/>
        </w:trPr>
        <w:tc>
          <w:tcPr>
            <w:tcW w:w="2440" w:type="dxa"/>
            <w:tcBorders>
              <w:top w:val="nil"/>
              <w:left w:val="nil"/>
              <w:bottom w:val="nil"/>
              <w:right w:val="nil"/>
            </w:tcBorders>
            <w:shd w:val="clear" w:color="000000" w:fill="FFFFFF"/>
            <w:noWrap/>
            <w:vAlign w:val="bottom"/>
            <w:hideMark/>
          </w:tcPr>
          <w:p w14:paraId="63DBBD0A"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Median Household Income</w:t>
            </w:r>
          </w:p>
        </w:tc>
        <w:tc>
          <w:tcPr>
            <w:tcW w:w="960" w:type="dxa"/>
            <w:tcBorders>
              <w:top w:val="nil"/>
              <w:left w:val="nil"/>
              <w:bottom w:val="nil"/>
              <w:right w:val="nil"/>
            </w:tcBorders>
            <w:shd w:val="clear" w:color="000000" w:fill="FFFFFF"/>
            <w:noWrap/>
            <w:vAlign w:val="center"/>
            <w:hideMark/>
          </w:tcPr>
          <w:p w14:paraId="7FF0099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$62,423</w:t>
            </w:r>
          </w:p>
        </w:tc>
        <w:tc>
          <w:tcPr>
            <w:tcW w:w="960" w:type="dxa"/>
            <w:tcBorders>
              <w:top w:val="nil"/>
              <w:left w:val="nil"/>
              <w:bottom w:val="nil"/>
              <w:right w:val="nil"/>
            </w:tcBorders>
            <w:shd w:val="clear" w:color="000000" w:fill="FFFFFF"/>
            <w:noWrap/>
            <w:vAlign w:val="center"/>
            <w:hideMark/>
          </w:tcPr>
          <w:p w14:paraId="36ACC15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$53,556</w:t>
            </w:r>
          </w:p>
        </w:tc>
        <w:tc>
          <w:tcPr>
            <w:tcW w:w="340" w:type="dxa"/>
            <w:tcBorders>
              <w:top w:val="nil"/>
              <w:left w:val="nil"/>
              <w:bottom w:val="nil"/>
              <w:right w:val="nil"/>
            </w:tcBorders>
            <w:shd w:val="clear" w:color="000000" w:fill="FFFFFF"/>
            <w:noWrap/>
            <w:vAlign w:val="center"/>
            <w:hideMark/>
          </w:tcPr>
          <w:p w14:paraId="1C821E91"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46DB731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--13%</w:t>
            </w:r>
          </w:p>
        </w:tc>
        <w:tc>
          <w:tcPr>
            <w:tcW w:w="859" w:type="dxa"/>
            <w:tcBorders>
              <w:top w:val="nil"/>
              <w:left w:val="nil"/>
              <w:bottom w:val="nil"/>
              <w:right w:val="nil"/>
            </w:tcBorders>
            <w:shd w:val="clear" w:color="000000" w:fill="FFFFFF"/>
            <w:noWrap/>
            <w:vAlign w:val="center"/>
            <w:hideMark/>
          </w:tcPr>
          <w:p w14:paraId="6BDB586D"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--51%</w:t>
            </w:r>
          </w:p>
        </w:tc>
        <w:tc>
          <w:tcPr>
            <w:tcW w:w="1121" w:type="dxa"/>
            <w:tcBorders>
              <w:top w:val="nil"/>
              <w:left w:val="nil"/>
              <w:bottom w:val="nil"/>
              <w:right w:val="nil"/>
            </w:tcBorders>
            <w:shd w:val="clear" w:color="000000" w:fill="FFFFFF"/>
            <w:noWrap/>
            <w:vAlign w:val="center"/>
            <w:hideMark/>
          </w:tcPr>
          <w:p w14:paraId="58DC3F5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--12%</w:t>
            </w:r>
          </w:p>
        </w:tc>
        <w:tc>
          <w:tcPr>
            <w:tcW w:w="994" w:type="dxa"/>
            <w:tcBorders>
              <w:top w:val="nil"/>
              <w:left w:val="nil"/>
              <w:bottom w:val="nil"/>
              <w:right w:val="nil"/>
            </w:tcBorders>
            <w:shd w:val="clear" w:color="000000" w:fill="FFFFFF"/>
            <w:noWrap/>
            <w:vAlign w:val="center"/>
            <w:hideMark/>
          </w:tcPr>
          <w:p w14:paraId="1476BC4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+15%</w:t>
            </w:r>
          </w:p>
        </w:tc>
      </w:tr>
      <w:tr w:rsidR="00D47A5D" w:rsidRPr="00D47A5D" w14:paraId="7E219CC1" w14:textId="77777777" w:rsidTr="00D47A5D">
        <w:trPr>
          <w:trHeight w:val="288"/>
        </w:trPr>
        <w:tc>
          <w:tcPr>
            <w:tcW w:w="2440" w:type="dxa"/>
            <w:tcBorders>
              <w:top w:val="nil"/>
              <w:left w:val="nil"/>
              <w:bottom w:val="nil"/>
              <w:right w:val="nil"/>
            </w:tcBorders>
            <w:shd w:val="clear" w:color="000000" w:fill="FFFFFF"/>
            <w:noWrap/>
            <w:vAlign w:val="bottom"/>
            <w:hideMark/>
          </w:tcPr>
          <w:p w14:paraId="4B3E4540"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College Degree</w:t>
            </w:r>
          </w:p>
        </w:tc>
        <w:tc>
          <w:tcPr>
            <w:tcW w:w="960" w:type="dxa"/>
            <w:tcBorders>
              <w:top w:val="nil"/>
              <w:left w:val="nil"/>
              <w:bottom w:val="nil"/>
              <w:right w:val="nil"/>
            </w:tcBorders>
            <w:shd w:val="clear" w:color="000000" w:fill="FFFFFF"/>
            <w:noWrap/>
            <w:vAlign w:val="center"/>
            <w:hideMark/>
          </w:tcPr>
          <w:p w14:paraId="2EF39040"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24%</w:t>
            </w:r>
          </w:p>
        </w:tc>
        <w:tc>
          <w:tcPr>
            <w:tcW w:w="960" w:type="dxa"/>
            <w:tcBorders>
              <w:top w:val="nil"/>
              <w:left w:val="nil"/>
              <w:bottom w:val="nil"/>
              <w:right w:val="nil"/>
            </w:tcBorders>
            <w:shd w:val="clear" w:color="000000" w:fill="FFFFFF"/>
            <w:noWrap/>
            <w:vAlign w:val="center"/>
            <w:hideMark/>
          </w:tcPr>
          <w:p w14:paraId="50F1C596"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29%</w:t>
            </w:r>
          </w:p>
        </w:tc>
        <w:tc>
          <w:tcPr>
            <w:tcW w:w="340" w:type="dxa"/>
            <w:tcBorders>
              <w:top w:val="nil"/>
              <w:left w:val="nil"/>
              <w:bottom w:val="nil"/>
              <w:right w:val="nil"/>
            </w:tcBorders>
            <w:shd w:val="clear" w:color="000000" w:fill="FFFFFF"/>
            <w:noWrap/>
            <w:vAlign w:val="center"/>
            <w:hideMark/>
          </w:tcPr>
          <w:p w14:paraId="6635D944"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3ADCF45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w:t>
            </w:r>
          </w:p>
        </w:tc>
        <w:tc>
          <w:tcPr>
            <w:tcW w:w="859" w:type="dxa"/>
            <w:tcBorders>
              <w:top w:val="nil"/>
              <w:left w:val="nil"/>
              <w:bottom w:val="nil"/>
              <w:right w:val="nil"/>
            </w:tcBorders>
            <w:shd w:val="clear" w:color="000000" w:fill="FFFFFF"/>
            <w:noWrap/>
            <w:vAlign w:val="center"/>
            <w:hideMark/>
          </w:tcPr>
          <w:p w14:paraId="4997C53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--10%</w:t>
            </w:r>
          </w:p>
        </w:tc>
        <w:tc>
          <w:tcPr>
            <w:tcW w:w="1121" w:type="dxa"/>
            <w:tcBorders>
              <w:top w:val="nil"/>
              <w:left w:val="nil"/>
              <w:bottom w:val="nil"/>
              <w:right w:val="nil"/>
            </w:tcBorders>
            <w:shd w:val="clear" w:color="000000" w:fill="FFFFFF"/>
            <w:noWrap/>
            <w:vAlign w:val="center"/>
            <w:hideMark/>
          </w:tcPr>
          <w:p w14:paraId="5E75AD9D"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w:t>
            </w:r>
          </w:p>
        </w:tc>
        <w:tc>
          <w:tcPr>
            <w:tcW w:w="994" w:type="dxa"/>
            <w:tcBorders>
              <w:top w:val="nil"/>
              <w:left w:val="nil"/>
              <w:bottom w:val="nil"/>
              <w:right w:val="nil"/>
            </w:tcBorders>
            <w:shd w:val="clear" w:color="000000" w:fill="FFFFFF"/>
            <w:noWrap/>
            <w:vAlign w:val="center"/>
            <w:hideMark/>
          </w:tcPr>
          <w:p w14:paraId="639249AF"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+23%</w:t>
            </w:r>
          </w:p>
        </w:tc>
      </w:tr>
      <w:tr w:rsidR="00D47A5D" w:rsidRPr="00D47A5D" w14:paraId="5DAB89D2" w14:textId="77777777" w:rsidTr="00D47A5D">
        <w:trPr>
          <w:trHeight w:val="288"/>
        </w:trPr>
        <w:tc>
          <w:tcPr>
            <w:tcW w:w="2440" w:type="dxa"/>
            <w:tcBorders>
              <w:top w:val="nil"/>
              <w:left w:val="nil"/>
              <w:bottom w:val="nil"/>
              <w:right w:val="nil"/>
            </w:tcBorders>
            <w:shd w:val="clear" w:color="000000" w:fill="FFFFFF"/>
            <w:noWrap/>
            <w:vAlign w:val="bottom"/>
            <w:hideMark/>
          </w:tcPr>
          <w:p w14:paraId="6A87A4AD"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Multi-Unit Housing</w:t>
            </w:r>
          </w:p>
        </w:tc>
        <w:tc>
          <w:tcPr>
            <w:tcW w:w="960" w:type="dxa"/>
            <w:tcBorders>
              <w:top w:val="nil"/>
              <w:left w:val="nil"/>
              <w:bottom w:val="nil"/>
              <w:right w:val="nil"/>
            </w:tcBorders>
            <w:shd w:val="clear" w:color="000000" w:fill="FFFFFF"/>
            <w:noWrap/>
            <w:vAlign w:val="center"/>
            <w:hideMark/>
          </w:tcPr>
          <w:p w14:paraId="70C577C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40%</w:t>
            </w:r>
          </w:p>
        </w:tc>
        <w:tc>
          <w:tcPr>
            <w:tcW w:w="960" w:type="dxa"/>
            <w:tcBorders>
              <w:top w:val="nil"/>
              <w:left w:val="nil"/>
              <w:bottom w:val="nil"/>
              <w:right w:val="nil"/>
            </w:tcBorders>
            <w:shd w:val="clear" w:color="000000" w:fill="FFFFFF"/>
            <w:noWrap/>
            <w:vAlign w:val="center"/>
            <w:hideMark/>
          </w:tcPr>
          <w:p w14:paraId="6290316E"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41%</w:t>
            </w:r>
          </w:p>
        </w:tc>
        <w:tc>
          <w:tcPr>
            <w:tcW w:w="340" w:type="dxa"/>
            <w:tcBorders>
              <w:top w:val="nil"/>
              <w:left w:val="nil"/>
              <w:bottom w:val="nil"/>
              <w:right w:val="nil"/>
            </w:tcBorders>
            <w:shd w:val="clear" w:color="000000" w:fill="FFFFFF"/>
            <w:noWrap/>
            <w:vAlign w:val="center"/>
            <w:hideMark/>
          </w:tcPr>
          <w:p w14:paraId="50C52ECA"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nil"/>
              <w:right w:val="nil"/>
            </w:tcBorders>
            <w:shd w:val="clear" w:color="000000" w:fill="FFFFFF"/>
            <w:noWrap/>
            <w:vAlign w:val="center"/>
            <w:hideMark/>
          </w:tcPr>
          <w:p w14:paraId="37A0CF74"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w:t>
            </w:r>
          </w:p>
        </w:tc>
        <w:tc>
          <w:tcPr>
            <w:tcW w:w="859" w:type="dxa"/>
            <w:tcBorders>
              <w:top w:val="nil"/>
              <w:left w:val="nil"/>
              <w:bottom w:val="nil"/>
              <w:right w:val="nil"/>
            </w:tcBorders>
            <w:shd w:val="clear" w:color="000000" w:fill="FFFFFF"/>
            <w:noWrap/>
            <w:vAlign w:val="center"/>
            <w:hideMark/>
          </w:tcPr>
          <w:p w14:paraId="2F436757"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--15%</w:t>
            </w:r>
          </w:p>
        </w:tc>
        <w:tc>
          <w:tcPr>
            <w:tcW w:w="1121" w:type="dxa"/>
            <w:tcBorders>
              <w:top w:val="nil"/>
              <w:left w:val="nil"/>
              <w:bottom w:val="nil"/>
              <w:right w:val="nil"/>
            </w:tcBorders>
            <w:shd w:val="clear" w:color="000000" w:fill="FFFFFF"/>
            <w:noWrap/>
            <w:vAlign w:val="center"/>
            <w:hideMark/>
          </w:tcPr>
          <w:p w14:paraId="47E0320C"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w:t>
            </w:r>
          </w:p>
        </w:tc>
        <w:tc>
          <w:tcPr>
            <w:tcW w:w="994" w:type="dxa"/>
            <w:tcBorders>
              <w:top w:val="nil"/>
              <w:left w:val="nil"/>
              <w:bottom w:val="nil"/>
              <w:right w:val="nil"/>
            </w:tcBorders>
            <w:shd w:val="clear" w:color="000000" w:fill="FFFFFF"/>
            <w:noWrap/>
            <w:vAlign w:val="center"/>
            <w:hideMark/>
          </w:tcPr>
          <w:p w14:paraId="7EECCE1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+32%</w:t>
            </w:r>
          </w:p>
        </w:tc>
      </w:tr>
      <w:tr w:rsidR="00D47A5D" w:rsidRPr="00D47A5D" w14:paraId="782F6B28" w14:textId="77777777" w:rsidTr="00D47A5D">
        <w:trPr>
          <w:trHeight w:val="288"/>
        </w:trPr>
        <w:tc>
          <w:tcPr>
            <w:tcW w:w="2440" w:type="dxa"/>
            <w:tcBorders>
              <w:top w:val="nil"/>
              <w:left w:val="nil"/>
              <w:bottom w:val="single" w:sz="4" w:space="0" w:color="auto"/>
              <w:right w:val="nil"/>
            </w:tcBorders>
            <w:shd w:val="clear" w:color="000000" w:fill="FFFFFF"/>
            <w:noWrap/>
            <w:vAlign w:val="bottom"/>
            <w:hideMark/>
          </w:tcPr>
          <w:p w14:paraId="18D31721" w14:textId="77777777" w:rsidR="00D47A5D" w:rsidRPr="00D47A5D" w:rsidRDefault="00D47A5D" w:rsidP="00D47A5D">
            <w:pPr>
              <w:spacing w:after="0" w:line="240" w:lineRule="auto"/>
              <w:rPr>
                <w:rFonts w:ascii="Calibri" w:eastAsia="Times New Roman" w:hAnsi="Calibri" w:cs="Calibri"/>
                <w:color w:val="000000"/>
                <w:sz w:val="20"/>
                <w:szCs w:val="20"/>
              </w:rPr>
            </w:pPr>
            <w:r w:rsidRPr="00D47A5D">
              <w:rPr>
                <w:rFonts w:ascii="Calibri" w:eastAsia="Times New Roman" w:hAnsi="Calibri" w:cs="Calibri"/>
                <w:color w:val="000000"/>
                <w:sz w:val="20"/>
                <w:szCs w:val="20"/>
              </w:rPr>
              <w:t>Percent White</w:t>
            </w:r>
          </w:p>
        </w:tc>
        <w:tc>
          <w:tcPr>
            <w:tcW w:w="960" w:type="dxa"/>
            <w:tcBorders>
              <w:top w:val="nil"/>
              <w:left w:val="nil"/>
              <w:bottom w:val="single" w:sz="4" w:space="0" w:color="auto"/>
              <w:right w:val="nil"/>
            </w:tcBorders>
            <w:shd w:val="clear" w:color="000000" w:fill="FFFFFF"/>
            <w:noWrap/>
            <w:vAlign w:val="center"/>
            <w:hideMark/>
          </w:tcPr>
          <w:p w14:paraId="752B1EA8"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75%</w:t>
            </w:r>
          </w:p>
        </w:tc>
        <w:tc>
          <w:tcPr>
            <w:tcW w:w="960" w:type="dxa"/>
            <w:tcBorders>
              <w:top w:val="nil"/>
              <w:left w:val="nil"/>
              <w:bottom w:val="single" w:sz="4" w:space="0" w:color="auto"/>
              <w:right w:val="nil"/>
            </w:tcBorders>
            <w:shd w:val="clear" w:color="000000" w:fill="FFFFFF"/>
            <w:noWrap/>
            <w:vAlign w:val="center"/>
            <w:hideMark/>
          </w:tcPr>
          <w:p w14:paraId="124412C9"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61%</w:t>
            </w:r>
          </w:p>
        </w:tc>
        <w:tc>
          <w:tcPr>
            <w:tcW w:w="340" w:type="dxa"/>
            <w:tcBorders>
              <w:top w:val="nil"/>
              <w:left w:val="nil"/>
              <w:bottom w:val="single" w:sz="4" w:space="0" w:color="auto"/>
              <w:right w:val="nil"/>
            </w:tcBorders>
            <w:shd w:val="clear" w:color="000000" w:fill="FFFFFF"/>
            <w:noWrap/>
            <w:vAlign w:val="center"/>
            <w:hideMark/>
          </w:tcPr>
          <w:p w14:paraId="5891775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 </w:t>
            </w:r>
          </w:p>
        </w:tc>
        <w:tc>
          <w:tcPr>
            <w:tcW w:w="866" w:type="dxa"/>
            <w:tcBorders>
              <w:top w:val="nil"/>
              <w:left w:val="nil"/>
              <w:bottom w:val="single" w:sz="4" w:space="0" w:color="auto"/>
              <w:right w:val="nil"/>
            </w:tcBorders>
            <w:shd w:val="clear" w:color="000000" w:fill="FFFFFF"/>
            <w:noWrap/>
            <w:vAlign w:val="center"/>
            <w:hideMark/>
          </w:tcPr>
          <w:p w14:paraId="5F9B578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--12%</w:t>
            </w:r>
          </w:p>
        </w:tc>
        <w:tc>
          <w:tcPr>
            <w:tcW w:w="859" w:type="dxa"/>
            <w:tcBorders>
              <w:top w:val="nil"/>
              <w:left w:val="nil"/>
              <w:bottom w:val="single" w:sz="4" w:space="0" w:color="auto"/>
              <w:right w:val="nil"/>
            </w:tcBorders>
            <w:shd w:val="clear" w:color="000000" w:fill="FFFFFF"/>
            <w:noWrap/>
            <w:vAlign w:val="center"/>
            <w:hideMark/>
          </w:tcPr>
          <w:p w14:paraId="65790472"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--42%</w:t>
            </w:r>
          </w:p>
        </w:tc>
        <w:tc>
          <w:tcPr>
            <w:tcW w:w="1121" w:type="dxa"/>
            <w:tcBorders>
              <w:top w:val="nil"/>
              <w:left w:val="nil"/>
              <w:bottom w:val="single" w:sz="4" w:space="0" w:color="auto"/>
              <w:right w:val="nil"/>
            </w:tcBorders>
            <w:shd w:val="clear" w:color="000000" w:fill="FFFFFF"/>
            <w:noWrap/>
            <w:vAlign w:val="center"/>
            <w:hideMark/>
          </w:tcPr>
          <w:p w14:paraId="6EAC6AA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w:t>
            </w:r>
          </w:p>
        </w:tc>
        <w:tc>
          <w:tcPr>
            <w:tcW w:w="994" w:type="dxa"/>
            <w:tcBorders>
              <w:top w:val="nil"/>
              <w:left w:val="nil"/>
              <w:bottom w:val="single" w:sz="4" w:space="0" w:color="auto"/>
              <w:right w:val="nil"/>
            </w:tcBorders>
            <w:shd w:val="clear" w:color="000000" w:fill="FFFFFF"/>
            <w:noWrap/>
            <w:vAlign w:val="center"/>
            <w:hideMark/>
          </w:tcPr>
          <w:p w14:paraId="6785197B" w14:textId="77777777" w:rsidR="00D47A5D" w:rsidRPr="00D47A5D" w:rsidRDefault="00D47A5D" w:rsidP="00D47A5D">
            <w:pPr>
              <w:spacing w:after="0" w:line="240" w:lineRule="auto"/>
              <w:jc w:val="center"/>
              <w:rPr>
                <w:rFonts w:ascii="Calibri" w:eastAsia="Times New Roman" w:hAnsi="Calibri" w:cs="Calibri"/>
                <w:color w:val="000000"/>
                <w:sz w:val="20"/>
                <w:szCs w:val="20"/>
              </w:rPr>
            </w:pPr>
            <w:r w:rsidRPr="00D47A5D">
              <w:rPr>
                <w:rFonts w:ascii="Calibri" w:eastAsia="Times New Roman" w:hAnsi="Calibri" w:cs="Calibri"/>
                <w:color w:val="000000"/>
                <w:sz w:val="20"/>
                <w:szCs w:val="20"/>
              </w:rPr>
              <w:t>+11%</w:t>
            </w:r>
          </w:p>
        </w:tc>
      </w:tr>
    </w:tbl>
    <w:p w14:paraId="6C3994DC" w14:textId="77777777" w:rsidR="00044A7B" w:rsidRDefault="00044A7B" w:rsidP="000F50BE">
      <w:pPr>
        <w:autoSpaceDE w:val="0"/>
        <w:autoSpaceDN w:val="0"/>
        <w:adjustRightInd w:val="0"/>
        <w:spacing w:after="0" w:line="240" w:lineRule="auto"/>
        <w:ind w:firstLine="720"/>
        <w:rPr>
          <w:rFonts w:cstheme="minorHAnsi"/>
        </w:rPr>
      </w:pPr>
    </w:p>
    <w:p w14:paraId="769749D2" w14:textId="77777777" w:rsidR="00837BD5" w:rsidRDefault="00837BD5" w:rsidP="000F50BE">
      <w:pPr>
        <w:autoSpaceDE w:val="0"/>
        <w:autoSpaceDN w:val="0"/>
        <w:adjustRightInd w:val="0"/>
        <w:spacing w:after="0" w:line="240" w:lineRule="auto"/>
        <w:ind w:firstLine="720"/>
        <w:rPr>
          <w:rFonts w:cstheme="minorHAnsi"/>
        </w:rPr>
      </w:pPr>
    </w:p>
    <w:p w14:paraId="6C898852" w14:textId="15FE3C98" w:rsidR="004028E2" w:rsidRDefault="004028E2" w:rsidP="000F50BE">
      <w:pPr>
        <w:autoSpaceDE w:val="0"/>
        <w:autoSpaceDN w:val="0"/>
        <w:adjustRightInd w:val="0"/>
        <w:spacing w:after="0" w:line="240" w:lineRule="auto"/>
        <w:ind w:firstLine="720"/>
        <w:rPr>
          <w:rFonts w:cstheme="minorHAnsi"/>
        </w:rPr>
      </w:pPr>
      <w:r w:rsidRPr="00BE37B5">
        <w:rPr>
          <w:rFonts w:cstheme="minorHAnsi"/>
        </w:rPr>
        <w:t xml:space="preserve">The spatial patterning of these potential relocation areas away from the inner-city is consistent with </w:t>
      </w:r>
      <w:r w:rsidR="008E4DE7">
        <w:rPr>
          <w:rFonts w:cstheme="minorHAnsi"/>
        </w:rPr>
        <w:t xml:space="preserve">residential </w:t>
      </w:r>
      <w:r w:rsidRPr="00BE37B5">
        <w:rPr>
          <w:rFonts w:cstheme="minorHAnsi"/>
        </w:rPr>
        <w:t xml:space="preserve">displacement relocations found in New York City </w:t>
      </w:r>
      <w:r w:rsidRPr="00BE37B5">
        <w:rPr>
          <w:rFonts w:cstheme="minorHAnsi"/>
        </w:rPr>
        <w:fldChar w:fldCharType="begin"/>
      </w:r>
      <w:r w:rsidRPr="00BE37B5">
        <w:rPr>
          <w:rFonts w:cstheme="minorHAnsi"/>
        </w:rPr>
        <w:instrText xml:space="preserve"> ADDIN ZOTERO_ITEM CSL_CITATION {"citationID":"2BTTba86","properties":{"formattedCitation":"(Wyly et al., 2010)","plainCitation":"(Wyly et al., 2010)","noteIndex":0},"citationItems":[{"id":447,"uris":["http://zotero.org/users/local/Cf6g054j/items/ZEUD9GLA"],"uri":["http://zotero.org/users/local/Cf6g054j/items/ZEUD9GLA"],"itemData":{"id":447,"type":"article-journal","title":"Displacing New York","container-title":"Environment and Planning A: Economy and Space","page":"2602-2623","volume":"42","issue":"11","source":"DOI.org (Crossref)","abstract":"The capitalization of urban property markets intensifies the contradictions between housing as use-value affordability versus exchange-value asset accumulation, and exacerbates displacement pressures. Policies designed to deal with these contradictions öpublic housing and rent regulations ö allow some low-income renters to resist displacement, particularly in gentrifying neighborhoods. Unfortunately, the resulting empirical configuration has been interpreted in ways that cast doubt on the extent of displacement, its causal links to gentrification, and the necessity of protective policies. In this paper we present an alternative interpretation, using New York City as a case study to analyze the spatial evolution of displacement pressures amidst the restructuring of an embattled yet vital municipal welfare state.","URL":"http://journals.sagepub.com/doi/10.1068/a42519","DOI":"10.1068/a42519","ISSN":"0308-518X, 1472-3409","journalAbbreviation":"Environ Plan A","language":"en","author":[{"family":"Wyly","given":"Elvin"},{"family":"Newman","given":"Kathe"},{"family":"Schafran","given":"Alex"},{"family":"Lee","given":"Elizabeth"}],"issued":{"date-parts":[["2010",11]]},"accessed":{"date-parts":[["2019",6,6]]}}}],"schema":"https://github.com/citation-style-language/schema/raw/master/csl-citation.json"} </w:instrText>
      </w:r>
      <w:r w:rsidRPr="00BE37B5">
        <w:rPr>
          <w:rFonts w:cstheme="minorHAnsi"/>
        </w:rPr>
        <w:fldChar w:fldCharType="separate"/>
      </w:r>
      <w:r w:rsidRPr="00BE37B5">
        <w:rPr>
          <w:rFonts w:cstheme="minorHAnsi"/>
        </w:rPr>
        <w:t>(Wyly et al., 2010)</w:t>
      </w:r>
      <w:r w:rsidRPr="00BE37B5">
        <w:rPr>
          <w:rFonts w:cstheme="minorHAnsi"/>
        </w:rPr>
        <w:fldChar w:fldCharType="end"/>
      </w:r>
      <w:r w:rsidRPr="00BE37B5">
        <w:rPr>
          <w:rFonts w:cstheme="minorHAnsi"/>
        </w:rPr>
        <w:t xml:space="preserve">.  This finding is also in line with previous research that suggests accessibility to labor markets via highways may be a factor in relocation housing preferences </w:t>
      </w:r>
      <w:r w:rsidRPr="00BE37B5">
        <w:rPr>
          <w:rFonts w:cstheme="minorHAnsi"/>
        </w:rPr>
        <w:fldChar w:fldCharType="begin"/>
      </w:r>
      <w:r w:rsidRPr="00BE37B5">
        <w:rPr>
          <w:rFonts w:cstheme="minorHAnsi"/>
        </w:rPr>
        <w:instrText xml:space="preserve"> ADDIN ZOTERO_ITEM CSL_CITATION {"citationID":"8D9We5vt","properties":{"formattedCitation":"(Voith, 1993)","plainCitation":"(Voith, 1993)","noteIndex":0},"citationItems":[{"id":654,"uris":["http://zotero.org/users/local/Cf6g054j/items/D7JAIBFK"],"uri":["http://zotero.org/users/local/Cf6g054j/items/D7JAIBFK"],"itemData":{"id":654,"type":"article-journal","title":"Changing Capitalization of CBD-Oriented Transportation Systems: Evidence from Philadelphia, 1970–1988","container-title":"Journal of Urban Economics","page":"361-376","volume":"33","issue":"3","source":"ScienceDirect","abstract":"This paper presents estimates of how the value of central business district (CBD) accessibility has changed over the period 1970–1988 for the Philadelphia metropolitan area. Using a large data set on suburban Philadelphia house sales, we estimate house value premiums associated with CBD-oriented train service provided by the Southeastern Pennsylvania Transportation Authority for each year in the sample. Additionally, we provide evidence on the changing value of highway access to the CBD. For the Philadelphia metropolitan area, we find strong evidence that accessibility to the CBD is capitalized into suburban house values. The estimated value of CBD accessibility fluctuates with the economic health of the city, indicating that the central city economy is an important factor in the overall wealth of suburban communities. From a policy perspective, these findings suggest that suburban communities may not be able to isolate themselves from the consequences of central city decline, and in fact, that suburban communities may benefit substantially from a growing central city.","URL":"http://www.sciencedirect.com/science/article/pii/S0094119083710211","DOI":"10.1006/juec.1993.1021","ISSN":"0094-1190","title-short":"Changing Capitalization of CBD-Oriented Transportation Systems","journalAbbreviation":"Journal of Urban Economics","author":[{"family":"Voith","given":"Richard"}],"issued":{"date-parts":[["1993",5,1]]},"accessed":{"date-parts":[["2019",6,23]]}}}],"schema":"https://github.com/citation-style-language/schema/raw/master/csl-citation.json"} </w:instrText>
      </w:r>
      <w:r w:rsidRPr="00BE37B5">
        <w:rPr>
          <w:rFonts w:cstheme="minorHAnsi"/>
        </w:rPr>
        <w:fldChar w:fldCharType="separate"/>
      </w:r>
      <w:r w:rsidRPr="00BE37B5">
        <w:rPr>
          <w:rFonts w:cstheme="minorHAnsi"/>
        </w:rPr>
        <w:t>(Voith, 1993)</w:t>
      </w:r>
      <w:r w:rsidRPr="00BE37B5">
        <w:rPr>
          <w:rFonts w:cstheme="minorHAnsi"/>
        </w:rPr>
        <w:fldChar w:fldCharType="end"/>
      </w:r>
      <w:r w:rsidRPr="00BE37B5">
        <w:rPr>
          <w:rFonts w:cstheme="minorHAnsi"/>
        </w:rPr>
        <w:t xml:space="preserve">. </w:t>
      </w:r>
    </w:p>
    <w:p w14:paraId="5A193C31" w14:textId="50F94330" w:rsidR="00BE1C8F" w:rsidRDefault="00BE1C8F" w:rsidP="00EC787E">
      <w:pPr>
        <w:autoSpaceDE w:val="0"/>
        <w:autoSpaceDN w:val="0"/>
        <w:adjustRightInd w:val="0"/>
        <w:spacing w:after="0" w:line="240" w:lineRule="auto"/>
        <w:rPr>
          <w:rFonts w:cstheme="minorHAnsi"/>
        </w:rPr>
      </w:pPr>
    </w:p>
    <w:p w14:paraId="1A130ECB" w14:textId="77777777" w:rsidR="00C42A23" w:rsidRDefault="00C42A23" w:rsidP="00EC787E">
      <w:pPr>
        <w:autoSpaceDE w:val="0"/>
        <w:autoSpaceDN w:val="0"/>
        <w:adjustRightInd w:val="0"/>
        <w:spacing w:after="0" w:line="240" w:lineRule="auto"/>
        <w:rPr>
          <w:rFonts w:cstheme="minorHAnsi"/>
          <w:sz w:val="20"/>
          <w:szCs w:val="20"/>
        </w:rPr>
      </w:pPr>
    </w:p>
    <w:p w14:paraId="6A80C312" w14:textId="13A76402" w:rsidR="00BE1C8F" w:rsidRDefault="00BE1C8F" w:rsidP="00BE1C8F">
      <w:pPr>
        <w:ind w:firstLine="720"/>
        <w:rPr>
          <w:rFonts w:cstheme="minorHAnsi"/>
        </w:rPr>
      </w:pPr>
      <w:r w:rsidRPr="00BE37B5">
        <w:rPr>
          <w:rFonts w:cstheme="minorHAnsi"/>
        </w:rPr>
        <w:lastRenderedPageBreak/>
        <w:t xml:space="preserve">Compared with previous methods to identify gentrification in Davidson County, the clustering results here identified fewer tracts than the Freeman method (37), and more than </w:t>
      </w:r>
      <w:r w:rsidR="005863DF">
        <w:rPr>
          <w:rFonts w:cstheme="minorHAnsi"/>
        </w:rPr>
        <w:t xml:space="preserve">the </w:t>
      </w:r>
      <w:proofErr w:type="spellStart"/>
      <w:r w:rsidRPr="00BE37B5">
        <w:rPr>
          <w:rFonts w:cstheme="minorHAnsi"/>
        </w:rPr>
        <w:t>O’Regan</w:t>
      </w:r>
      <w:proofErr w:type="spellEnd"/>
      <w:r w:rsidRPr="00BE37B5">
        <w:rPr>
          <w:rFonts w:cstheme="minorHAnsi"/>
        </w:rPr>
        <w:t xml:space="preserve"> (8) </w:t>
      </w:r>
      <w:r w:rsidR="005863DF">
        <w:rPr>
          <w:rFonts w:cstheme="minorHAnsi"/>
        </w:rPr>
        <w:t>and</w:t>
      </w:r>
      <w:r w:rsidRPr="00BE37B5">
        <w:rPr>
          <w:rFonts w:cstheme="minorHAnsi"/>
        </w:rPr>
        <w:t xml:space="preserve"> </w:t>
      </w:r>
      <w:proofErr w:type="spellStart"/>
      <w:r w:rsidRPr="00BE37B5">
        <w:rPr>
          <w:rFonts w:cstheme="minorHAnsi"/>
        </w:rPr>
        <w:t>McKinish</w:t>
      </w:r>
      <w:proofErr w:type="spellEnd"/>
      <w:r w:rsidRPr="00BE37B5">
        <w:rPr>
          <w:rFonts w:cstheme="minorHAnsi"/>
        </w:rPr>
        <w:t xml:space="preserve"> et al. (5) methods</w:t>
      </w:r>
      <w:r w:rsidRPr="00BE37B5">
        <w:rPr>
          <w:rStyle w:val="FootnoteReference"/>
          <w:rFonts w:cstheme="minorHAnsi"/>
        </w:rPr>
        <w:footnoteReference w:id="9"/>
      </w:r>
      <w:r w:rsidRPr="00BE37B5">
        <w:rPr>
          <w:rFonts w:cstheme="minorHAnsi"/>
        </w:rPr>
        <w:t xml:space="preserve">.  These locations corroborate anecdotal accounts of gentrification within neighborhoods such as Germantown, Edgehill, and East Nashville </w:t>
      </w:r>
      <w:r w:rsidRPr="00BE37B5">
        <w:rPr>
          <w:rFonts w:cstheme="minorHAnsi"/>
        </w:rPr>
        <w:fldChar w:fldCharType="begin"/>
      </w:r>
      <w:r w:rsidRPr="00BE37B5">
        <w:rPr>
          <w:rFonts w:cstheme="minorHAnsi"/>
        </w:rPr>
        <w:instrText xml:space="preserve"> ADDIN ZOTERO_ITEM CSL_CITATION {"citationID":"RpxHUo5h","properties":{"formattedCitation":"(Plazas, 2017)","plainCitation":"(Plazas, 2017)","noteIndex":0},"citationItems":[{"id":579,"uris":["http://zotero.org/users/local/Cf6g054j/items/JEXTYBZ3"],"uri":["http://zotero.org/users/local/Cf6g054j/items/JEXTYBZ3"],"itemData":{"id":579,"type":"article-newspaper","title":"The costs of growth and change in Nashville","container-title":"The Tennessean","abstract":"Metro has long favored progress and development, but people in historically black neighborhoods are being left behind.","URL":"https://www.tennessean.com/story/opinion/columnists/david-plazas/2017/01/29/costs-growth-and-change-nashville/97064252/","language":"en","author":[{"family":"Plazas","given":"David"}],"issued":{"date-parts":[["2017",1,27]]},"accessed":{"date-parts":[["2019",6,15]]}}}],"schema":"https://github.com/citation-style-language/schema/raw/master/csl-citation.json"} </w:instrText>
      </w:r>
      <w:r w:rsidRPr="00BE37B5">
        <w:rPr>
          <w:rFonts w:cstheme="minorHAnsi"/>
        </w:rPr>
        <w:fldChar w:fldCharType="separate"/>
      </w:r>
      <w:r w:rsidRPr="00BE37B5">
        <w:rPr>
          <w:rFonts w:cstheme="minorHAnsi"/>
        </w:rPr>
        <w:t>(Plazas, 2017)</w:t>
      </w:r>
      <w:r w:rsidRPr="00BE37B5">
        <w:rPr>
          <w:rFonts w:cstheme="minorHAnsi"/>
        </w:rPr>
        <w:fldChar w:fldCharType="end"/>
      </w:r>
      <w:r w:rsidRPr="00BE37B5">
        <w:rPr>
          <w:rFonts w:cstheme="minorHAnsi"/>
        </w:rPr>
        <w:t xml:space="preserve">. It should </w:t>
      </w:r>
      <w:r w:rsidR="00FC5C4C">
        <w:rPr>
          <w:rFonts w:cstheme="minorHAnsi"/>
        </w:rPr>
        <w:t xml:space="preserve">also </w:t>
      </w:r>
      <w:r w:rsidRPr="00BE37B5">
        <w:rPr>
          <w:rFonts w:cstheme="minorHAnsi"/>
        </w:rPr>
        <w:t xml:space="preserve">be </w:t>
      </w:r>
      <w:r w:rsidR="00FC5C4C">
        <w:rPr>
          <w:rFonts w:cstheme="minorHAnsi"/>
        </w:rPr>
        <w:t>reiterated</w:t>
      </w:r>
      <w:r w:rsidRPr="00BE37B5">
        <w:rPr>
          <w:rFonts w:cstheme="minorHAnsi"/>
        </w:rPr>
        <w:t xml:space="preserve"> that</w:t>
      </w:r>
      <w:r>
        <w:rPr>
          <w:rFonts w:cstheme="minorHAnsi"/>
        </w:rPr>
        <w:t xml:space="preserve"> these are relative</w:t>
      </w:r>
      <w:r w:rsidRPr="00BE37B5">
        <w:rPr>
          <w:rFonts w:cstheme="minorHAnsi"/>
        </w:rPr>
        <w:t xml:space="preserve"> measurements </w:t>
      </w:r>
      <w:r>
        <w:rPr>
          <w:rFonts w:cstheme="minorHAnsi"/>
        </w:rPr>
        <w:t>rather than net mobility</w:t>
      </w:r>
      <w:r w:rsidR="00FC5C4C">
        <w:rPr>
          <w:rFonts w:cstheme="minorHAnsi"/>
        </w:rPr>
        <w:t>/displacement</w:t>
      </w:r>
      <w:r>
        <w:rPr>
          <w:rFonts w:cstheme="minorHAnsi"/>
        </w:rPr>
        <w:t xml:space="preserve"> measurements, but the patterns in Cluster</w:t>
      </w:r>
      <w:r w:rsidR="00FC5C4C">
        <w:rPr>
          <w:rFonts w:cstheme="minorHAnsi"/>
        </w:rPr>
        <w:t>s</w:t>
      </w:r>
      <w:r>
        <w:rPr>
          <w:rFonts w:cstheme="minorHAnsi"/>
        </w:rPr>
        <w:t xml:space="preserve"> 2 </w:t>
      </w:r>
      <w:r w:rsidR="00FC5C4C">
        <w:rPr>
          <w:rFonts w:cstheme="minorHAnsi"/>
        </w:rPr>
        <w:t xml:space="preserve">and 3 </w:t>
      </w:r>
      <w:r>
        <w:rPr>
          <w:rFonts w:cstheme="minorHAnsi"/>
        </w:rPr>
        <w:t>are</w:t>
      </w:r>
      <w:r w:rsidRPr="00BE37B5">
        <w:rPr>
          <w:rFonts w:cstheme="minorHAnsi"/>
        </w:rPr>
        <w:t xml:space="preserve"> highly suggestive of resident</w:t>
      </w:r>
      <w:r>
        <w:rPr>
          <w:rFonts w:cstheme="minorHAnsi"/>
        </w:rPr>
        <w:t xml:space="preserve">ial </w:t>
      </w:r>
      <w:r w:rsidR="008E4DE7">
        <w:rPr>
          <w:rFonts w:cstheme="minorHAnsi"/>
        </w:rPr>
        <w:t xml:space="preserve">and ethnic </w:t>
      </w:r>
      <w:r>
        <w:rPr>
          <w:rFonts w:cstheme="minorHAnsi"/>
        </w:rPr>
        <w:t>displacement</w:t>
      </w:r>
      <w:r w:rsidRPr="00BE37B5">
        <w:rPr>
          <w:rFonts w:cstheme="minorHAnsi"/>
        </w:rPr>
        <w:t xml:space="preserve">. This evidence for </w:t>
      </w:r>
      <w:r w:rsidR="008E4DE7">
        <w:rPr>
          <w:rFonts w:cstheme="minorHAnsi"/>
        </w:rPr>
        <w:t xml:space="preserve">this </w:t>
      </w:r>
      <w:r w:rsidRPr="00BE37B5">
        <w:rPr>
          <w:rFonts w:cstheme="minorHAnsi"/>
        </w:rPr>
        <w:t xml:space="preserve">displacement was used to differentiate the process apart from revitalization or incumbent upgrading. </w:t>
      </w:r>
    </w:p>
    <w:p w14:paraId="174FC68D" w14:textId="77777777" w:rsidR="00BE1C8F" w:rsidRPr="0050169B" w:rsidRDefault="00BE1C8F" w:rsidP="00EC787E">
      <w:pPr>
        <w:autoSpaceDE w:val="0"/>
        <w:autoSpaceDN w:val="0"/>
        <w:adjustRightInd w:val="0"/>
        <w:spacing w:after="0" w:line="240" w:lineRule="auto"/>
        <w:rPr>
          <w:rFonts w:cstheme="minorHAnsi"/>
          <w:sz w:val="20"/>
          <w:szCs w:val="20"/>
        </w:rPr>
      </w:pPr>
    </w:p>
    <w:p w14:paraId="6263C982" w14:textId="77777777" w:rsidR="00EC787E" w:rsidRDefault="00AB26E0" w:rsidP="00AB26E0">
      <w:pPr>
        <w:pStyle w:val="Heading2"/>
      </w:pPr>
      <w:r>
        <w:t>Spatial Significance</w:t>
      </w:r>
    </w:p>
    <w:p w14:paraId="29366B13" w14:textId="094F2961" w:rsidR="00AB26E0" w:rsidRDefault="00FC5C4C" w:rsidP="00AA7D6D">
      <w:pPr>
        <w:autoSpaceDE w:val="0"/>
        <w:autoSpaceDN w:val="0"/>
        <w:adjustRightInd w:val="0"/>
        <w:spacing w:after="0" w:line="240" w:lineRule="auto"/>
        <w:ind w:firstLine="720"/>
        <w:rPr>
          <w:rFonts w:cstheme="minorHAnsi"/>
        </w:rPr>
      </w:pPr>
      <w:r>
        <w:t>The</w:t>
      </w:r>
      <w:r w:rsidR="00AA7D6D">
        <w:t xml:space="preserve"> s</w:t>
      </w:r>
      <w:r w:rsidR="005863DF">
        <w:t xml:space="preserve">patial analysis Nashville neighborhood </w:t>
      </w:r>
      <w:r w:rsidR="00227791">
        <w:t xml:space="preserve">change </w:t>
      </w:r>
      <w:r w:rsidR="005863DF">
        <w:t xml:space="preserve">typologies </w:t>
      </w:r>
      <w:r w:rsidR="00AA7D6D">
        <w:t xml:space="preserve">rejects </w:t>
      </w:r>
      <w:r w:rsidR="00EA1C69">
        <w:t>a</w:t>
      </w:r>
      <w:r w:rsidR="00AA7D6D">
        <w:t xml:space="preserve"> null hypothesis that the spatial distribution of neighborhood change occurs </w:t>
      </w:r>
      <w:r w:rsidR="005863DF">
        <w:t>random</w:t>
      </w:r>
      <w:r w:rsidR="00AA7D6D">
        <w:t>ly, in an un</w:t>
      </w:r>
      <w:r w:rsidR="005863DF">
        <w:t>structur</w:t>
      </w:r>
      <w:r w:rsidR="00AA7D6D">
        <w:t>ed</w:t>
      </w:r>
      <w:r w:rsidR="005863DF">
        <w:t xml:space="preserve"> process. </w:t>
      </w:r>
      <w:r w:rsidR="00AB26E0">
        <w:t xml:space="preserve">The k-color join count test returns p-values for each </w:t>
      </w:r>
      <w:r w:rsidR="005863DF">
        <w:t>typology’s</w:t>
      </w:r>
      <w:r w:rsidR="005D4540">
        <w:t xml:space="preserve"> spatial distribution</w:t>
      </w:r>
      <w:r w:rsidR="00CA591D">
        <w:t xml:space="preserve"> based on the defined neighbor relationship</w:t>
      </w:r>
      <w:r w:rsidR="005D4540">
        <w:t xml:space="preserve"> (T</w:t>
      </w:r>
      <w:r w:rsidR="00AB26E0">
        <w:t>able 4)</w:t>
      </w:r>
      <w:r w:rsidR="005863DF">
        <w:t>.</w:t>
      </w:r>
      <w:r w:rsidR="00AB26E0">
        <w:t xml:space="preserve"> First-order queen’s contiguity resulted in</w:t>
      </w:r>
      <w:r w:rsidR="005863DF">
        <w:t xml:space="preserve"> a</w:t>
      </w:r>
      <w:r w:rsidR="00AB26E0">
        <w:t xml:space="preserve"> p-value &lt; .05 for all clusters </w:t>
      </w:r>
      <w:r w:rsidR="00DF5003">
        <w:t>except for</w:t>
      </w:r>
      <w:r w:rsidR="00AB26E0">
        <w:t xml:space="preserve"> </w:t>
      </w:r>
      <w:r w:rsidR="00826E89">
        <w:t xml:space="preserve">Cluster </w:t>
      </w:r>
      <w:r w:rsidR="005863DF">
        <w:t>4</w:t>
      </w:r>
      <w:r w:rsidR="006F1E83">
        <w:t>,</w:t>
      </w:r>
      <w:r w:rsidR="00AB26E0">
        <w:t xml:space="preserve"> which appears</w:t>
      </w:r>
      <w:r w:rsidR="005863DF">
        <w:t xml:space="preserve"> only</w:t>
      </w:r>
      <w:r w:rsidR="00AB26E0">
        <w:t xml:space="preserve"> in the </w:t>
      </w:r>
      <w:r w:rsidR="006F1E83">
        <w:t>s</w:t>
      </w:r>
      <w:r w:rsidR="00AB26E0">
        <w:t>outheastern</w:t>
      </w:r>
      <w:r w:rsidR="005863DF">
        <w:t>-most</w:t>
      </w:r>
      <w:r w:rsidR="00AB26E0">
        <w:t xml:space="preserve"> corner of Davidson County</w:t>
      </w:r>
      <w:r w:rsidR="00AA7D6D">
        <w:t>. Cluster 4</w:t>
      </w:r>
      <w:r w:rsidR="005863DF">
        <w:t xml:space="preserve"> tracts are </w:t>
      </w:r>
      <w:r w:rsidR="00CA591D">
        <w:t>inter-</w:t>
      </w:r>
      <w:r w:rsidR="005863DF">
        <w:t xml:space="preserve">spaced </w:t>
      </w:r>
      <w:r w:rsidR="00AB26E0">
        <w:t>by one</w:t>
      </w:r>
      <w:r w:rsidR="00CA591D">
        <w:t xml:space="preserve"> non-similar</w:t>
      </w:r>
      <w:r w:rsidR="00AB26E0">
        <w:t xml:space="preserve"> tract</w:t>
      </w:r>
      <w:r w:rsidR="00AA7D6D">
        <w:t xml:space="preserve"> and the typology</w:t>
      </w:r>
      <w:r w:rsidR="00CA591D">
        <w:t xml:space="preserve"> is</w:t>
      </w:r>
      <w:r w:rsidR="00AA7D6D">
        <w:t xml:space="preserve"> </w:t>
      </w:r>
      <w:r w:rsidR="00CA591D">
        <w:t>significant</w:t>
      </w:r>
      <w:r w:rsidR="00AA7D6D">
        <w:t xml:space="preserve"> </w:t>
      </w:r>
      <w:r w:rsidR="00DF5003">
        <w:t xml:space="preserve">using the </w:t>
      </w:r>
      <w:r w:rsidR="00AA7D6D">
        <w:t>s</w:t>
      </w:r>
      <w:r w:rsidR="00AB26E0">
        <w:t>econd-order queen</w:t>
      </w:r>
      <w:r w:rsidR="006F1E83">
        <w:t>’</w:t>
      </w:r>
      <w:r w:rsidR="00AB26E0">
        <w:t xml:space="preserve">s contiguity </w:t>
      </w:r>
      <w:r w:rsidR="00CA591D">
        <w:t>relationship</w:t>
      </w:r>
      <w:r w:rsidR="00AB26E0">
        <w:t>. T</w:t>
      </w:r>
      <w:r w:rsidR="00AA7D6D">
        <w:t>ogether, t</w:t>
      </w:r>
      <w:r w:rsidR="00AB26E0">
        <w:t>h</w:t>
      </w:r>
      <w:r w:rsidR="00CA591D">
        <w:t>ese</w:t>
      </w:r>
      <w:r w:rsidR="00AB26E0">
        <w:t xml:space="preserve"> </w:t>
      </w:r>
      <w:r w:rsidR="00826E89">
        <w:t>result</w:t>
      </w:r>
      <w:r w:rsidR="00CA591D">
        <w:t>s</w:t>
      </w:r>
      <w:r w:rsidR="00AB26E0">
        <w:t xml:space="preserve"> </w:t>
      </w:r>
      <w:r w:rsidR="00E245EE">
        <w:t>provide evidence</w:t>
      </w:r>
      <w:r w:rsidR="00AB26E0">
        <w:t xml:space="preserve"> suggest</w:t>
      </w:r>
      <w:r w:rsidR="00E245EE">
        <w:t>ing</w:t>
      </w:r>
      <w:r w:rsidR="00AB26E0">
        <w:t xml:space="preserve"> a non-random neighborhood shaping</w:t>
      </w:r>
      <w:r w:rsidR="00826E89">
        <w:t xml:space="preserve"> process</w:t>
      </w:r>
      <w:r w:rsidR="00E245EE">
        <w:t xml:space="preserve"> </w:t>
      </w:r>
      <w:proofErr w:type="gramStart"/>
      <w:r w:rsidR="00E245EE">
        <w:t>and also</w:t>
      </w:r>
      <w:proofErr w:type="gramEnd"/>
      <w:r w:rsidR="00E245EE">
        <w:t xml:space="preserve"> </w:t>
      </w:r>
      <w:r w:rsidR="00AA7D6D">
        <w:rPr>
          <w:rFonts w:cstheme="minorHAnsi"/>
        </w:rPr>
        <w:t>impl</w:t>
      </w:r>
      <w:r w:rsidR="00E245EE">
        <w:rPr>
          <w:rFonts w:cstheme="minorHAnsi"/>
        </w:rPr>
        <w:t>y</w:t>
      </w:r>
      <w:r w:rsidR="00AA7D6D" w:rsidRPr="00BE37B5">
        <w:rPr>
          <w:rFonts w:cstheme="minorHAnsi"/>
        </w:rPr>
        <w:t xml:space="preserve"> that signals of investment and disinvestment in </w:t>
      </w:r>
      <w:r w:rsidR="00AA7D6D">
        <w:rPr>
          <w:rFonts w:cstheme="minorHAnsi"/>
        </w:rPr>
        <w:t>one</w:t>
      </w:r>
      <w:r w:rsidR="00AA7D6D" w:rsidRPr="00BE37B5">
        <w:rPr>
          <w:rFonts w:cstheme="minorHAnsi"/>
        </w:rPr>
        <w:t xml:space="preserve"> area </w:t>
      </w:r>
      <w:r w:rsidR="00E245EE">
        <w:rPr>
          <w:rFonts w:cstheme="minorHAnsi"/>
        </w:rPr>
        <w:t>are likely</w:t>
      </w:r>
      <w:r w:rsidR="00AA7D6D">
        <w:rPr>
          <w:rFonts w:cstheme="minorHAnsi"/>
        </w:rPr>
        <w:t xml:space="preserve"> not independent of neighboring census tracts.  This may be </w:t>
      </w:r>
      <w:r w:rsidR="00E245EE">
        <w:rPr>
          <w:rFonts w:cstheme="minorHAnsi"/>
        </w:rPr>
        <w:t>explained</w:t>
      </w:r>
      <w:r w:rsidR="00AA7D6D">
        <w:rPr>
          <w:rFonts w:cstheme="minorHAnsi"/>
        </w:rPr>
        <w:t xml:space="preserve">, in part, to the nature of census tract geography, which often follow non-physical barriers and often don’t delineate neighborhood designations or development patterns. </w:t>
      </w:r>
    </w:p>
    <w:p w14:paraId="648B3DD9" w14:textId="77777777" w:rsidR="00AA7D6D" w:rsidRDefault="00AA7D6D" w:rsidP="00AA7D6D">
      <w:pPr>
        <w:autoSpaceDE w:val="0"/>
        <w:autoSpaceDN w:val="0"/>
        <w:adjustRightInd w:val="0"/>
        <w:spacing w:after="0" w:line="240" w:lineRule="auto"/>
        <w:ind w:firstLine="720"/>
      </w:pPr>
    </w:p>
    <w:p w14:paraId="762EC378" w14:textId="6D4B0B9C" w:rsidR="00E8524F" w:rsidRPr="009E185D" w:rsidRDefault="00E8524F" w:rsidP="00E8524F">
      <w:pPr>
        <w:pStyle w:val="Caption"/>
        <w:keepNext/>
        <w:jc w:val="center"/>
        <w:rPr>
          <w:sz w:val="20"/>
          <w:szCs w:val="20"/>
        </w:rPr>
      </w:pPr>
      <w:r w:rsidRPr="009E185D">
        <w:rPr>
          <w:sz w:val="20"/>
          <w:szCs w:val="20"/>
        </w:rPr>
        <w:t xml:space="preserve">Table </w:t>
      </w:r>
      <w:r w:rsidRPr="009E185D">
        <w:rPr>
          <w:sz w:val="20"/>
          <w:szCs w:val="20"/>
        </w:rPr>
        <w:fldChar w:fldCharType="begin"/>
      </w:r>
      <w:r w:rsidRPr="009E185D">
        <w:rPr>
          <w:sz w:val="20"/>
          <w:szCs w:val="20"/>
        </w:rPr>
        <w:instrText xml:space="preserve"> SEQ Table \* ARABIC </w:instrText>
      </w:r>
      <w:r w:rsidRPr="009E185D">
        <w:rPr>
          <w:sz w:val="20"/>
          <w:szCs w:val="20"/>
        </w:rPr>
        <w:fldChar w:fldCharType="separate"/>
      </w:r>
      <w:r w:rsidR="00044A7B" w:rsidRPr="009E185D">
        <w:rPr>
          <w:noProof/>
          <w:sz w:val="20"/>
          <w:szCs w:val="20"/>
        </w:rPr>
        <w:t>9</w:t>
      </w:r>
      <w:r w:rsidRPr="009E185D">
        <w:rPr>
          <w:sz w:val="20"/>
          <w:szCs w:val="20"/>
        </w:rPr>
        <w:fldChar w:fldCharType="end"/>
      </w:r>
      <w:r w:rsidRPr="009E185D">
        <w:rPr>
          <w:sz w:val="20"/>
          <w:szCs w:val="20"/>
        </w:rPr>
        <w:t xml:space="preserve">. </w:t>
      </w:r>
      <w:r w:rsidR="00FD5CAE" w:rsidRPr="009E185D">
        <w:rPr>
          <w:sz w:val="20"/>
          <w:szCs w:val="20"/>
        </w:rPr>
        <w:t>First</w:t>
      </w:r>
      <w:r w:rsidR="00B619EE" w:rsidRPr="009E185D">
        <w:rPr>
          <w:sz w:val="20"/>
          <w:szCs w:val="20"/>
        </w:rPr>
        <w:t xml:space="preserve"> and second order</w:t>
      </w:r>
      <w:r w:rsidR="00FD5CAE" w:rsidRPr="009E185D">
        <w:rPr>
          <w:sz w:val="20"/>
          <w:szCs w:val="20"/>
        </w:rPr>
        <w:t xml:space="preserve"> queen’s case contiguity join count results</w:t>
      </w:r>
      <w:r w:rsidRPr="009E185D">
        <w:rPr>
          <w:sz w:val="20"/>
          <w:szCs w:val="20"/>
        </w:rPr>
        <w:t>.</w:t>
      </w:r>
    </w:p>
    <w:tbl>
      <w:tblPr>
        <w:tblW w:w="4185" w:type="dxa"/>
        <w:jc w:val="center"/>
        <w:tblLook w:val="04A0" w:firstRow="1" w:lastRow="0" w:firstColumn="1" w:lastColumn="0" w:noHBand="0" w:noVBand="1"/>
      </w:tblPr>
      <w:tblGrid>
        <w:gridCol w:w="1117"/>
        <w:gridCol w:w="1377"/>
        <w:gridCol w:w="1691"/>
      </w:tblGrid>
      <w:tr w:rsidR="00474F3A" w:rsidRPr="00EA1C69" w14:paraId="2B03949D" w14:textId="77777777" w:rsidTr="003163AA">
        <w:trPr>
          <w:trHeight w:val="588"/>
          <w:jc w:val="center"/>
        </w:trPr>
        <w:tc>
          <w:tcPr>
            <w:tcW w:w="1117" w:type="dxa"/>
            <w:tcBorders>
              <w:top w:val="single" w:sz="8" w:space="0" w:color="auto"/>
              <w:left w:val="nil"/>
              <w:bottom w:val="single" w:sz="8" w:space="0" w:color="auto"/>
              <w:right w:val="nil"/>
            </w:tcBorders>
            <w:shd w:val="clear" w:color="auto" w:fill="auto"/>
            <w:vAlign w:val="center"/>
            <w:hideMark/>
          </w:tcPr>
          <w:p w14:paraId="7B53A3A2" w14:textId="77777777" w:rsidR="00474F3A" w:rsidRPr="00EA1C69" w:rsidRDefault="00474F3A" w:rsidP="00474F3A">
            <w:pPr>
              <w:spacing w:after="0" w:line="240" w:lineRule="auto"/>
              <w:jc w:val="center"/>
              <w:rPr>
                <w:rFonts w:ascii="Calibri" w:eastAsia="Times New Roman" w:hAnsi="Calibri" w:cs="Calibri"/>
                <w:b/>
                <w:bCs/>
                <w:color w:val="000000"/>
                <w:sz w:val="20"/>
                <w:szCs w:val="20"/>
              </w:rPr>
            </w:pPr>
            <w:r w:rsidRPr="00EA1C69">
              <w:rPr>
                <w:rFonts w:ascii="Calibri" w:eastAsia="Times New Roman" w:hAnsi="Calibri" w:cs="Calibri"/>
                <w:b/>
                <w:bCs/>
                <w:color w:val="000000"/>
                <w:sz w:val="20"/>
                <w:szCs w:val="20"/>
              </w:rPr>
              <w:t>Cluster</w:t>
            </w:r>
          </w:p>
        </w:tc>
        <w:tc>
          <w:tcPr>
            <w:tcW w:w="1377" w:type="dxa"/>
            <w:tcBorders>
              <w:top w:val="single" w:sz="8" w:space="0" w:color="auto"/>
              <w:left w:val="nil"/>
              <w:bottom w:val="single" w:sz="8" w:space="0" w:color="auto"/>
              <w:right w:val="nil"/>
            </w:tcBorders>
            <w:shd w:val="clear" w:color="auto" w:fill="auto"/>
            <w:vAlign w:val="center"/>
            <w:hideMark/>
          </w:tcPr>
          <w:p w14:paraId="52B97F08" w14:textId="77777777" w:rsidR="00474F3A" w:rsidRPr="00EA1C69" w:rsidRDefault="00474F3A" w:rsidP="00474F3A">
            <w:pPr>
              <w:spacing w:after="0" w:line="240" w:lineRule="auto"/>
              <w:jc w:val="center"/>
              <w:rPr>
                <w:rFonts w:ascii="Calibri" w:eastAsia="Times New Roman" w:hAnsi="Calibri" w:cs="Calibri"/>
                <w:b/>
                <w:bCs/>
                <w:color w:val="000000"/>
                <w:sz w:val="20"/>
                <w:szCs w:val="20"/>
              </w:rPr>
            </w:pPr>
            <w:r w:rsidRPr="00EA1C69">
              <w:rPr>
                <w:rFonts w:ascii="Calibri" w:eastAsia="Times New Roman" w:hAnsi="Calibri" w:cs="Calibri"/>
                <w:b/>
                <w:bCs/>
                <w:color w:val="000000"/>
                <w:sz w:val="20"/>
                <w:szCs w:val="20"/>
              </w:rPr>
              <w:t>First Order</w:t>
            </w:r>
            <w:r w:rsidRPr="00EA1C69">
              <w:rPr>
                <w:rFonts w:ascii="Calibri" w:eastAsia="Times New Roman" w:hAnsi="Calibri" w:cs="Calibri"/>
                <w:b/>
                <w:bCs/>
                <w:color w:val="000000"/>
                <w:sz w:val="20"/>
                <w:szCs w:val="20"/>
              </w:rPr>
              <w:br/>
              <w:t xml:space="preserve"> p-value</w:t>
            </w:r>
          </w:p>
        </w:tc>
        <w:tc>
          <w:tcPr>
            <w:tcW w:w="1691" w:type="dxa"/>
            <w:tcBorders>
              <w:top w:val="single" w:sz="8" w:space="0" w:color="auto"/>
              <w:left w:val="nil"/>
              <w:bottom w:val="single" w:sz="8" w:space="0" w:color="auto"/>
              <w:right w:val="nil"/>
            </w:tcBorders>
            <w:shd w:val="clear" w:color="auto" w:fill="auto"/>
            <w:vAlign w:val="center"/>
            <w:hideMark/>
          </w:tcPr>
          <w:p w14:paraId="314B2628" w14:textId="77777777" w:rsidR="00474F3A" w:rsidRPr="00EA1C69" w:rsidRDefault="00474F3A" w:rsidP="00474F3A">
            <w:pPr>
              <w:spacing w:after="0" w:line="240" w:lineRule="auto"/>
              <w:jc w:val="center"/>
              <w:rPr>
                <w:rFonts w:ascii="Calibri" w:eastAsia="Times New Roman" w:hAnsi="Calibri" w:cs="Calibri"/>
                <w:b/>
                <w:bCs/>
                <w:color w:val="000000"/>
                <w:sz w:val="20"/>
                <w:szCs w:val="20"/>
              </w:rPr>
            </w:pPr>
            <w:r w:rsidRPr="00EA1C69">
              <w:rPr>
                <w:rFonts w:ascii="Calibri" w:eastAsia="Times New Roman" w:hAnsi="Calibri" w:cs="Calibri"/>
                <w:b/>
                <w:bCs/>
                <w:color w:val="000000"/>
                <w:sz w:val="20"/>
                <w:szCs w:val="20"/>
              </w:rPr>
              <w:t xml:space="preserve">Second Order </w:t>
            </w:r>
            <w:r w:rsidRPr="00EA1C69">
              <w:rPr>
                <w:rFonts w:ascii="Calibri" w:eastAsia="Times New Roman" w:hAnsi="Calibri" w:cs="Calibri"/>
                <w:b/>
                <w:bCs/>
                <w:color w:val="000000"/>
                <w:sz w:val="20"/>
                <w:szCs w:val="20"/>
              </w:rPr>
              <w:br/>
              <w:t>p-value</w:t>
            </w:r>
          </w:p>
        </w:tc>
      </w:tr>
      <w:tr w:rsidR="00474F3A" w:rsidRPr="00EA1C69" w14:paraId="76B7F8CD" w14:textId="77777777" w:rsidTr="003163AA">
        <w:trPr>
          <w:trHeight w:val="288"/>
          <w:jc w:val="center"/>
        </w:trPr>
        <w:tc>
          <w:tcPr>
            <w:tcW w:w="1117" w:type="dxa"/>
            <w:tcBorders>
              <w:top w:val="nil"/>
              <w:left w:val="nil"/>
              <w:bottom w:val="nil"/>
              <w:right w:val="nil"/>
            </w:tcBorders>
            <w:shd w:val="clear" w:color="auto" w:fill="auto"/>
            <w:noWrap/>
            <w:vAlign w:val="center"/>
            <w:hideMark/>
          </w:tcPr>
          <w:p w14:paraId="43691AD5"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Cluster 1</w:t>
            </w:r>
          </w:p>
        </w:tc>
        <w:tc>
          <w:tcPr>
            <w:tcW w:w="1377" w:type="dxa"/>
            <w:tcBorders>
              <w:top w:val="nil"/>
              <w:left w:val="nil"/>
              <w:bottom w:val="nil"/>
              <w:right w:val="nil"/>
            </w:tcBorders>
            <w:shd w:val="clear" w:color="auto" w:fill="auto"/>
            <w:noWrap/>
            <w:vAlign w:val="center"/>
            <w:hideMark/>
          </w:tcPr>
          <w:p w14:paraId="32374861"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0.005</w:t>
            </w:r>
          </w:p>
        </w:tc>
        <w:tc>
          <w:tcPr>
            <w:tcW w:w="1691" w:type="dxa"/>
            <w:tcBorders>
              <w:top w:val="nil"/>
              <w:left w:val="nil"/>
              <w:bottom w:val="nil"/>
              <w:right w:val="nil"/>
            </w:tcBorders>
            <w:shd w:val="clear" w:color="auto" w:fill="auto"/>
            <w:vAlign w:val="center"/>
            <w:hideMark/>
          </w:tcPr>
          <w:p w14:paraId="0DE07367"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0.064</w:t>
            </w:r>
          </w:p>
        </w:tc>
      </w:tr>
      <w:tr w:rsidR="00474F3A" w:rsidRPr="00EA1C69" w14:paraId="480339FA" w14:textId="77777777" w:rsidTr="003163AA">
        <w:trPr>
          <w:trHeight w:val="288"/>
          <w:jc w:val="center"/>
        </w:trPr>
        <w:tc>
          <w:tcPr>
            <w:tcW w:w="1117" w:type="dxa"/>
            <w:tcBorders>
              <w:top w:val="nil"/>
              <w:left w:val="nil"/>
              <w:bottom w:val="nil"/>
              <w:right w:val="nil"/>
            </w:tcBorders>
            <w:shd w:val="clear" w:color="auto" w:fill="auto"/>
            <w:noWrap/>
            <w:vAlign w:val="center"/>
            <w:hideMark/>
          </w:tcPr>
          <w:p w14:paraId="0AD0CE22"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Cluster 2</w:t>
            </w:r>
          </w:p>
        </w:tc>
        <w:tc>
          <w:tcPr>
            <w:tcW w:w="1377" w:type="dxa"/>
            <w:tcBorders>
              <w:top w:val="nil"/>
              <w:left w:val="nil"/>
              <w:bottom w:val="nil"/>
              <w:right w:val="nil"/>
            </w:tcBorders>
            <w:shd w:val="clear" w:color="auto" w:fill="auto"/>
            <w:noWrap/>
            <w:vAlign w:val="center"/>
            <w:hideMark/>
          </w:tcPr>
          <w:p w14:paraId="078092FF"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&lt;0.001</w:t>
            </w:r>
          </w:p>
        </w:tc>
        <w:tc>
          <w:tcPr>
            <w:tcW w:w="1691" w:type="dxa"/>
            <w:tcBorders>
              <w:top w:val="nil"/>
              <w:left w:val="nil"/>
              <w:bottom w:val="nil"/>
              <w:right w:val="nil"/>
            </w:tcBorders>
            <w:shd w:val="clear" w:color="auto" w:fill="auto"/>
            <w:vAlign w:val="center"/>
            <w:hideMark/>
          </w:tcPr>
          <w:p w14:paraId="6A93ED4B"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&lt;.001</w:t>
            </w:r>
          </w:p>
        </w:tc>
      </w:tr>
      <w:tr w:rsidR="00474F3A" w:rsidRPr="00EA1C69" w14:paraId="3BF6775E" w14:textId="77777777" w:rsidTr="003163AA">
        <w:trPr>
          <w:trHeight w:val="288"/>
          <w:jc w:val="center"/>
        </w:trPr>
        <w:tc>
          <w:tcPr>
            <w:tcW w:w="1117" w:type="dxa"/>
            <w:tcBorders>
              <w:top w:val="nil"/>
              <w:left w:val="nil"/>
              <w:bottom w:val="nil"/>
              <w:right w:val="nil"/>
            </w:tcBorders>
            <w:shd w:val="clear" w:color="auto" w:fill="auto"/>
            <w:noWrap/>
            <w:vAlign w:val="center"/>
            <w:hideMark/>
          </w:tcPr>
          <w:p w14:paraId="3ED3FC98"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Cluster 3</w:t>
            </w:r>
          </w:p>
        </w:tc>
        <w:tc>
          <w:tcPr>
            <w:tcW w:w="1377" w:type="dxa"/>
            <w:tcBorders>
              <w:top w:val="nil"/>
              <w:left w:val="nil"/>
              <w:bottom w:val="nil"/>
              <w:right w:val="nil"/>
            </w:tcBorders>
            <w:shd w:val="clear" w:color="auto" w:fill="auto"/>
            <w:noWrap/>
            <w:vAlign w:val="center"/>
            <w:hideMark/>
          </w:tcPr>
          <w:p w14:paraId="658E25B6"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0.019</w:t>
            </w:r>
          </w:p>
        </w:tc>
        <w:tc>
          <w:tcPr>
            <w:tcW w:w="1691" w:type="dxa"/>
            <w:tcBorders>
              <w:top w:val="nil"/>
              <w:left w:val="nil"/>
              <w:bottom w:val="nil"/>
              <w:right w:val="nil"/>
            </w:tcBorders>
            <w:shd w:val="clear" w:color="auto" w:fill="auto"/>
            <w:vAlign w:val="center"/>
            <w:hideMark/>
          </w:tcPr>
          <w:p w14:paraId="1949B6CC"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0.058</w:t>
            </w:r>
          </w:p>
        </w:tc>
      </w:tr>
      <w:tr w:rsidR="00474F3A" w:rsidRPr="00EA1C69" w14:paraId="5A2DEF71" w14:textId="77777777" w:rsidTr="003163AA">
        <w:trPr>
          <w:trHeight w:val="288"/>
          <w:jc w:val="center"/>
        </w:trPr>
        <w:tc>
          <w:tcPr>
            <w:tcW w:w="1117" w:type="dxa"/>
            <w:tcBorders>
              <w:top w:val="nil"/>
              <w:left w:val="nil"/>
              <w:bottom w:val="nil"/>
              <w:right w:val="nil"/>
            </w:tcBorders>
            <w:shd w:val="clear" w:color="auto" w:fill="auto"/>
            <w:noWrap/>
            <w:vAlign w:val="center"/>
            <w:hideMark/>
          </w:tcPr>
          <w:p w14:paraId="794E2105"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Cluster 4</w:t>
            </w:r>
          </w:p>
        </w:tc>
        <w:tc>
          <w:tcPr>
            <w:tcW w:w="1377" w:type="dxa"/>
            <w:tcBorders>
              <w:top w:val="nil"/>
              <w:left w:val="nil"/>
              <w:bottom w:val="nil"/>
              <w:right w:val="nil"/>
            </w:tcBorders>
            <w:shd w:val="clear" w:color="auto" w:fill="auto"/>
            <w:noWrap/>
            <w:vAlign w:val="center"/>
            <w:hideMark/>
          </w:tcPr>
          <w:p w14:paraId="4555AEC8"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0.601</w:t>
            </w:r>
          </w:p>
        </w:tc>
        <w:tc>
          <w:tcPr>
            <w:tcW w:w="1691" w:type="dxa"/>
            <w:tcBorders>
              <w:top w:val="nil"/>
              <w:left w:val="nil"/>
              <w:bottom w:val="nil"/>
              <w:right w:val="nil"/>
            </w:tcBorders>
            <w:shd w:val="clear" w:color="auto" w:fill="auto"/>
            <w:vAlign w:val="center"/>
            <w:hideMark/>
          </w:tcPr>
          <w:p w14:paraId="031F1324"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0.006</w:t>
            </w:r>
          </w:p>
        </w:tc>
      </w:tr>
      <w:tr w:rsidR="00474F3A" w:rsidRPr="00EA1C69" w14:paraId="77D02FB9" w14:textId="77777777" w:rsidTr="003163AA">
        <w:trPr>
          <w:trHeight w:val="300"/>
          <w:jc w:val="center"/>
        </w:trPr>
        <w:tc>
          <w:tcPr>
            <w:tcW w:w="1117" w:type="dxa"/>
            <w:tcBorders>
              <w:top w:val="nil"/>
              <w:left w:val="nil"/>
              <w:bottom w:val="single" w:sz="8" w:space="0" w:color="auto"/>
              <w:right w:val="nil"/>
            </w:tcBorders>
            <w:shd w:val="clear" w:color="auto" w:fill="auto"/>
            <w:noWrap/>
            <w:vAlign w:val="center"/>
            <w:hideMark/>
          </w:tcPr>
          <w:p w14:paraId="2F47B811"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Cluster 5</w:t>
            </w:r>
          </w:p>
        </w:tc>
        <w:tc>
          <w:tcPr>
            <w:tcW w:w="1377" w:type="dxa"/>
            <w:tcBorders>
              <w:top w:val="nil"/>
              <w:left w:val="nil"/>
              <w:bottom w:val="single" w:sz="8" w:space="0" w:color="auto"/>
              <w:right w:val="nil"/>
            </w:tcBorders>
            <w:shd w:val="clear" w:color="auto" w:fill="auto"/>
            <w:noWrap/>
            <w:vAlign w:val="center"/>
            <w:hideMark/>
          </w:tcPr>
          <w:p w14:paraId="6D6D31E0"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&lt;0.001</w:t>
            </w:r>
          </w:p>
        </w:tc>
        <w:tc>
          <w:tcPr>
            <w:tcW w:w="1691" w:type="dxa"/>
            <w:tcBorders>
              <w:top w:val="nil"/>
              <w:left w:val="nil"/>
              <w:bottom w:val="single" w:sz="8" w:space="0" w:color="auto"/>
              <w:right w:val="nil"/>
            </w:tcBorders>
            <w:shd w:val="clear" w:color="auto" w:fill="auto"/>
            <w:noWrap/>
            <w:vAlign w:val="center"/>
            <w:hideMark/>
          </w:tcPr>
          <w:p w14:paraId="111F4614" w14:textId="77777777" w:rsidR="00474F3A" w:rsidRPr="00EA1C69" w:rsidRDefault="00474F3A" w:rsidP="00474F3A">
            <w:pPr>
              <w:spacing w:after="0" w:line="240" w:lineRule="auto"/>
              <w:jc w:val="center"/>
              <w:rPr>
                <w:rFonts w:ascii="Calibri" w:eastAsia="Times New Roman" w:hAnsi="Calibri" w:cs="Calibri"/>
                <w:color w:val="000000"/>
                <w:sz w:val="20"/>
                <w:szCs w:val="20"/>
              </w:rPr>
            </w:pPr>
            <w:r w:rsidRPr="00EA1C69">
              <w:rPr>
                <w:rFonts w:ascii="Calibri" w:eastAsia="Times New Roman" w:hAnsi="Calibri" w:cs="Calibri"/>
                <w:color w:val="000000"/>
                <w:sz w:val="20"/>
                <w:szCs w:val="20"/>
              </w:rPr>
              <w:t>&lt;0.001</w:t>
            </w:r>
          </w:p>
        </w:tc>
      </w:tr>
    </w:tbl>
    <w:p w14:paraId="7DB05DC1" w14:textId="77777777" w:rsidR="00474F3A" w:rsidRPr="00B619EE" w:rsidRDefault="00474F3A" w:rsidP="003163AA"/>
    <w:p w14:paraId="0FAD944B" w14:textId="056677AA" w:rsidR="006858BA" w:rsidRDefault="000742EA" w:rsidP="009913F9">
      <w:pPr>
        <w:autoSpaceDE w:val="0"/>
        <w:autoSpaceDN w:val="0"/>
        <w:adjustRightInd w:val="0"/>
        <w:spacing w:after="0" w:line="240" w:lineRule="auto"/>
        <w:ind w:firstLine="720"/>
        <w:rPr>
          <w:rFonts w:cstheme="minorHAnsi"/>
        </w:rPr>
      </w:pPr>
      <w:r>
        <w:rPr>
          <w:rFonts w:cstheme="minorHAnsi"/>
        </w:rPr>
        <w:t xml:space="preserve">A mutually inclusive explanation </w:t>
      </w:r>
      <w:r w:rsidR="00AA7D6D">
        <w:rPr>
          <w:rFonts w:cstheme="minorHAnsi"/>
        </w:rPr>
        <w:t>adheres</w:t>
      </w:r>
      <w:r w:rsidR="006858BA">
        <w:rPr>
          <w:rFonts w:cstheme="minorHAnsi"/>
        </w:rPr>
        <w:t xml:space="preserve"> to Waldo</w:t>
      </w:r>
      <w:r>
        <w:rPr>
          <w:rFonts w:cstheme="minorHAnsi"/>
        </w:rPr>
        <w:t xml:space="preserve"> Tobler’s first law of geography- “</w:t>
      </w:r>
      <w:r w:rsidRPr="000742EA">
        <w:rPr>
          <w:rFonts w:cstheme="minorHAnsi"/>
          <w:i/>
          <w:iCs/>
        </w:rPr>
        <w:t>everything is related to everything else, but near things are more related than distant things.</w:t>
      </w:r>
      <w:r w:rsidRPr="000742EA">
        <w:rPr>
          <w:rFonts w:cstheme="minorHAnsi"/>
        </w:rPr>
        <w:t>”</w:t>
      </w:r>
      <w:r>
        <w:rPr>
          <w:rFonts w:cstheme="minorHAnsi"/>
        </w:rPr>
        <w:t xml:space="preserve"> </w:t>
      </w:r>
      <w:r w:rsidR="009913F9">
        <w:rPr>
          <w:rFonts w:cstheme="minorHAnsi"/>
        </w:rPr>
        <w:t>In the context of neighborhood change, t</w:t>
      </w:r>
      <w:r w:rsidR="00AD122D">
        <w:rPr>
          <w:rFonts w:cstheme="minorHAnsi"/>
        </w:rPr>
        <w:t xml:space="preserve">his explanation </w:t>
      </w:r>
      <w:r w:rsidR="006858BA">
        <w:rPr>
          <w:rFonts w:cstheme="minorHAnsi"/>
        </w:rPr>
        <w:t>intuitively supposes</w:t>
      </w:r>
      <w:r>
        <w:rPr>
          <w:rFonts w:cstheme="minorHAnsi"/>
        </w:rPr>
        <w:t xml:space="preserve"> that change in one area</w:t>
      </w:r>
      <w:r w:rsidR="009913F9">
        <w:rPr>
          <w:rFonts w:cstheme="minorHAnsi"/>
        </w:rPr>
        <w:t xml:space="preserve"> </w:t>
      </w:r>
      <w:r w:rsidR="004C488A">
        <w:rPr>
          <w:rFonts w:cstheme="minorHAnsi"/>
        </w:rPr>
        <w:t xml:space="preserve">can meaningfully </w:t>
      </w:r>
      <w:r w:rsidR="006858BA">
        <w:rPr>
          <w:rFonts w:cstheme="minorHAnsi"/>
        </w:rPr>
        <w:t>influence</w:t>
      </w:r>
      <w:r>
        <w:rPr>
          <w:rFonts w:cstheme="minorHAnsi"/>
        </w:rPr>
        <w:t xml:space="preserve"> </w:t>
      </w:r>
      <w:r w:rsidR="004C488A">
        <w:rPr>
          <w:rFonts w:cstheme="minorHAnsi"/>
        </w:rPr>
        <w:t xml:space="preserve">the </w:t>
      </w:r>
      <w:r>
        <w:rPr>
          <w:rFonts w:cstheme="minorHAnsi"/>
        </w:rPr>
        <w:t>perception</w:t>
      </w:r>
      <w:r w:rsidR="006858BA">
        <w:rPr>
          <w:rFonts w:cstheme="minorHAnsi"/>
        </w:rPr>
        <w:t xml:space="preserve"> of</w:t>
      </w:r>
      <w:r>
        <w:rPr>
          <w:rFonts w:cstheme="minorHAnsi"/>
        </w:rPr>
        <w:t xml:space="preserve"> nearby areas.</w:t>
      </w:r>
      <w:r w:rsidR="006858BA">
        <w:rPr>
          <w:rFonts w:cstheme="minorHAnsi"/>
        </w:rPr>
        <w:t xml:space="preserve"> When </w:t>
      </w:r>
      <w:r w:rsidR="004C488A">
        <w:rPr>
          <w:rFonts w:cstheme="minorHAnsi"/>
        </w:rPr>
        <w:t>this phenomenon</w:t>
      </w:r>
      <w:r w:rsidR="006858BA">
        <w:rPr>
          <w:rFonts w:cstheme="minorHAnsi"/>
        </w:rPr>
        <w:t xml:space="preserve"> is e</w:t>
      </w:r>
      <w:r w:rsidR="00AD122D">
        <w:rPr>
          <w:rFonts w:cstheme="minorHAnsi"/>
        </w:rPr>
        <w:t xml:space="preserve">xtrapolated across two decades </w:t>
      </w:r>
      <w:r w:rsidR="009913F9">
        <w:rPr>
          <w:rFonts w:cstheme="minorHAnsi"/>
        </w:rPr>
        <w:t>and</w:t>
      </w:r>
      <w:r w:rsidR="006858BA">
        <w:rPr>
          <w:rFonts w:cstheme="minorHAnsi"/>
        </w:rPr>
        <w:t xml:space="preserve"> a</w:t>
      </w:r>
      <w:r w:rsidR="00AD122D">
        <w:rPr>
          <w:rFonts w:cstheme="minorHAnsi"/>
        </w:rPr>
        <w:t xml:space="preserve"> diverse set of agents with competing</w:t>
      </w:r>
      <w:r w:rsidR="009913F9">
        <w:rPr>
          <w:rFonts w:cstheme="minorHAnsi"/>
        </w:rPr>
        <w:t xml:space="preserve"> interest</w:t>
      </w:r>
      <w:r w:rsidR="00FB3B1F">
        <w:rPr>
          <w:rFonts w:cstheme="minorHAnsi"/>
        </w:rPr>
        <w:t>s</w:t>
      </w:r>
      <w:r w:rsidR="006858BA">
        <w:rPr>
          <w:rFonts w:cstheme="minorHAnsi"/>
        </w:rPr>
        <w:t xml:space="preserve">, </w:t>
      </w:r>
      <w:r w:rsidR="00AD122D">
        <w:rPr>
          <w:rFonts w:cstheme="minorHAnsi"/>
        </w:rPr>
        <w:t xml:space="preserve">we </w:t>
      </w:r>
      <w:r w:rsidR="004C488A">
        <w:rPr>
          <w:rFonts w:cstheme="minorHAnsi"/>
        </w:rPr>
        <w:t>find robust</w:t>
      </w:r>
      <w:r w:rsidR="00AD122D">
        <w:rPr>
          <w:rFonts w:cstheme="minorHAnsi"/>
        </w:rPr>
        <w:t xml:space="preserve"> </w:t>
      </w:r>
      <w:r w:rsidR="009913F9">
        <w:rPr>
          <w:rFonts w:cstheme="minorHAnsi"/>
        </w:rPr>
        <w:t>evidence on a system-level that</w:t>
      </w:r>
      <w:r>
        <w:rPr>
          <w:rFonts w:cstheme="minorHAnsi"/>
        </w:rPr>
        <w:t xml:space="preserve"> </w:t>
      </w:r>
      <w:r w:rsidR="00AD122D">
        <w:rPr>
          <w:rFonts w:cstheme="minorHAnsi"/>
        </w:rPr>
        <w:t>neighborhoods near each other change more similar</w:t>
      </w:r>
      <w:r w:rsidR="006858BA">
        <w:rPr>
          <w:rFonts w:cstheme="minorHAnsi"/>
        </w:rPr>
        <w:t>ly</w:t>
      </w:r>
      <w:r w:rsidR="00AD122D">
        <w:rPr>
          <w:rFonts w:cstheme="minorHAnsi"/>
        </w:rPr>
        <w:t xml:space="preserve"> than neighborhoods </w:t>
      </w:r>
      <w:r w:rsidR="006858BA">
        <w:rPr>
          <w:rFonts w:cstheme="minorHAnsi"/>
        </w:rPr>
        <w:t xml:space="preserve">more </w:t>
      </w:r>
      <w:r w:rsidR="00AD122D">
        <w:rPr>
          <w:rFonts w:cstheme="minorHAnsi"/>
        </w:rPr>
        <w:t>distant from one another</w:t>
      </w:r>
      <w:r w:rsidR="00E13BA0" w:rsidRPr="00BE37B5">
        <w:rPr>
          <w:rFonts w:cstheme="minorHAnsi"/>
        </w:rPr>
        <w:t xml:space="preserve">. </w:t>
      </w:r>
      <w:r w:rsidR="00E245EE">
        <w:rPr>
          <w:rFonts w:cstheme="minorHAnsi"/>
        </w:rPr>
        <w:t>Such</w:t>
      </w:r>
      <w:r w:rsidR="00AD122D">
        <w:rPr>
          <w:rFonts w:cstheme="minorHAnsi"/>
        </w:rPr>
        <w:t xml:space="preserve"> </w:t>
      </w:r>
      <w:r w:rsidR="00E13BA0" w:rsidRPr="00BE37B5">
        <w:rPr>
          <w:rFonts w:cstheme="minorHAnsi"/>
        </w:rPr>
        <w:t xml:space="preserve">spatial </w:t>
      </w:r>
      <w:r w:rsidR="00E245EE">
        <w:rPr>
          <w:rFonts w:cstheme="minorHAnsi"/>
        </w:rPr>
        <w:t>inter-</w:t>
      </w:r>
      <w:r w:rsidR="00E245EE" w:rsidRPr="00BE37B5">
        <w:rPr>
          <w:rFonts w:cstheme="minorHAnsi"/>
        </w:rPr>
        <w:t>dependen</w:t>
      </w:r>
      <w:r w:rsidR="00E245EE">
        <w:rPr>
          <w:rFonts w:cstheme="minorHAnsi"/>
        </w:rPr>
        <w:t>cies are</w:t>
      </w:r>
      <w:r w:rsidR="00D33A5F">
        <w:rPr>
          <w:rFonts w:cstheme="minorHAnsi"/>
        </w:rPr>
        <w:t xml:space="preserve"> </w:t>
      </w:r>
      <w:r w:rsidR="00E245EE">
        <w:rPr>
          <w:rFonts w:cstheme="minorHAnsi"/>
        </w:rPr>
        <w:t>observed</w:t>
      </w:r>
      <w:r w:rsidR="00D33A5F">
        <w:rPr>
          <w:rFonts w:cstheme="minorHAnsi"/>
        </w:rPr>
        <w:t xml:space="preserve"> in </w:t>
      </w:r>
      <w:r w:rsidR="00E13BA0" w:rsidRPr="00BE37B5">
        <w:rPr>
          <w:rFonts w:cstheme="minorHAnsi"/>
        </w:rPr>
        <w:t>other cities</w:t>
      </w:r>
      <w:r w:rsidR="006858BA">
        <w:rPr>
          <w:rFonts w:cstheme="minorHAnsi"/>
        </w:rPr>
        <w:t xml:space="preserve"> </w:t>
      </w:r>
      <w:r w:rsidR="00D33A5F">
        <w:rPr>
          <w:rFonts w:cstheme="minorHAnsi"/>
        </w:rPr>
        <w:t>such as</w:t>
      </w:r>
      <w:r w:rsidR="00E13BA0" w:rsidRPr="00BE37B5">
        <w:rPr>
          <w:rFonts w:cstheme="minorHAnsi"/>
        </w:rPr>
        <w:t xml:space="preserve"> Chicago, Detroit, and Phoenix </w:t>
      </w:r>
      <w:r w:rsidR="00E13BA0" w:rsidRPr="00BE37B5">
        <w:rPr>
          <w:rFonts w:cstheme="minorHAnsi"/>
        </w:rPr>
        <w:fldChar w:fldCharType="begin"/>
      </w:r>
      <w:r w:rsidR="00E13BA0" w:rsidRPr="00BE37B5">
        <w:rPr>
          <w:rFonts w:cstheme="minorHAnsi"/>
        </w:rPr>
        <w:instrText xml:space="preserve"> ADDIN ZOTERO_ITEM CSL_CITATION {"citationID":"oge152vr","properties":{"formattedCitation":"(Ling and Delmelle, 2016)","plainCitation":"(Ling and Delmelle, 2016)","noteIndex":0},"citationItems":[{"id":574,"uris":["http://zotero.org/users/local/Cf6g054j/items/6QA6XLKF"],"uri":["http://zotero.org/users/local/Cf6g054j/items/6QA6XLKF"],"itemData":{"id":574,"type":"article-journal","title":"Classifying multidimensional trajectories of neighbourhood change: a self-organizing map and k-means approach: Annals of GIS: Vol 22, No 3","page":"173-186","volume":"22","issue":"3","URL":"https://www.tandfonline.com/doi/full/10.1080/19475683.2016.1191545","DOI":"10.1080/19475683.2016.1191545","author":[{"family":"Ling","given":"Chenjun"},{"family":"Delmelle","given":"Elizabeth"}],"issued":{"date-parts":[["2016",6,1]]},"accessed":{"date-parts":[["2019",6,10]]}}}],"schema":"https://github.com/citation-style-language/schema/raw/master/csl-citation.json"} </w:instrText>
      </w:r>
      <w:r w:rsidR="00E13BA0" w:rsidRPr="00BE37B5">
        <w:rPr>
          <w:rFonts w:cstheme="minorHAnsi"/>
        </w:rPr>
        <w:fldChar w:fldCharType="separate"/>
      </w:r>
      <w:r w:rsidR="00E13BA0" w:rsidRPr="00BE37B5">
        <w:rPr>
          <w:rFonts w:cstheme="minorHAnsi"/>
        </w:rPr>
        <w:t xml:space="preserve">(Ling and </w:t>
      </w:r>
      <w:proofErr w:type="spellStart"/>
      <w:r w:rsidR="00E13BA0" w:rsidRPr="00BE37B5">
        <w:rPr>
          <w:rFonts w:cstheme="minorHAnsi"/>
        </w:rPr>
        <w:t>Delmelle</w:t>
      </w:r>
      <w:proofErr w:type="spellEnd"/>
      <w:r w:rsidR="00E13BA0" w:rsidRPr="00BE37B5">
        <w:rPr>
          <w:rFonts w:cstheme="minorHAnsi"/>
        </w:rPr>
        <w:t>, 2016)</w:t>
      </w:r>
      <w:r w:rsidR="00E13BA0" w:rsidRPr="00BE37B5">
        <w:rPr>
          <w:rFonts w:cstheme="minorHAnsi"/>
        </w:rPr>
        <w:fldChar w:fldCharType="end"/>
      </w:r>
      <w:r w:rsidR="00E13BA0" w:rsidRPr="00BE37B5">
        <w:rPr>
          <w:rFonts w:cstheme="minorHAnsi"/>
        </w:rPr>
        <w:t xml:space="preserve">. </w:t>
      </w:r>
    </w:p>
    <w:p w14:paraId="65328A68" w14:textId="77777777" w:rsidR="006858BA" w:rsidRDefault="006858BA" w:rsidP="00961566">
      <w:pPr>
        <w:autoSpaceDE w:val="0"/>
        <w:autoSpaceDN w:val="0"/>
        <w:adjustRightInd w:val="0"/>
        <w:spacing w:after="0" w:line="240" w:lineRule="auto"/>
        <w:ind w:firstLine="720"/>
        <w:rPr>
          <w:rFonts w:cstheme="minorHAnsi"/>
        </w:rPr>
      </w:pPr>
    </w:p>
    <w:p w14:paraId="27B6927E" w14:textId="77BF6F50" w:rsidR="00E13BA0" w:rsidRPr="00BE37B5" w:rsidRDefault="00E13BA0" w:rsidP="00961566">
      <w:pPr>
        <w:autoSpaceDE w:val="0"/>
        <w:autoSpaceDN w:val="0"/>
        <w:adjustRightInd w:val="0"/>
        <w:spacing w:after="0" w:line="240" w:lineRule="auto"/>
        <w:ind w:firstLine="720"/>
        <w:rPr>
          <w:rFonts w:cstheme="minorHAnsi"/>
        </w:rPr>
      </w:pPr>
      <w:r w:rsidRPr="00BE37B5">
        <w:rPr>
          <w:rFonts w:cstheme="minorHAnsi"/>
        </w:rPr>
        <w:t>T</w:t>
      </w:r>
      <w:r w:rsidR="006858BA">
        <w:rPr>
          <w:rFonts w:cstheme="minorHAnsi"/>
        </w:rPr>
        <w:t xml:space="preserve">he </w:t>
      </w:r>
      <w:r w:rsidR="009913F9">
        <w:rPr>
          <w:rFonts w:cstheme="minorHAnsi"/>
        </w:rPr>
        <w:t xml:space="preserve">spatial clustering </w:t>
      </w:r>
      <w:r w:rsidR="006858BA">
        <w:rPr>
          <w:rFonts w:cstheme="minorHAnsi"/>
        </w:rPr>
        <w:t xml:space="preserve">of Nashville gentrification </w:t>
      </w:r>
      <w:r w:rsidR="009913F9">
        <w:rPr>
          <w:rFonts w:cstheme="minorHAnsi"/>
        </w:rPr>
        <w:t xml:space="preserve">typologies </w:t>
      </w:r>
      <w:r w:rsidR="006858BA">
        <w:rPr>
          <w:rFonts w:cstheme="minorHAnsi"/>
        </w:rPr>
        <w:t>provide</w:t>
      </w:r>
      <w:r w:rsidR="009913F9">
        <w:rPr>
          <w:rFonts w:cstheme="minorHAnsi"/>
        </w:rPr>
        <w:t>s</w:t>
      </w:r>
      <w:r w:rsidRPr="00BE37B5">
        <w:rPr>
          <w:rFonts w:cstheme="minorHAnsi"/>
        </w:rPr>
        <w:t xml:space="preserve"> further evidence</w:t>
      </w:r>
      <w:r w:rsidR="00FB3B1F">
        <w:rPr>
          <w:rFonts w:cstheme="minorHAnsi"/>
        </w:rPr>
        <w:t xml:space="preserve"> of</w:t>
      </w:r>
      <w:r w:rsidRPr="00BE37B5">
        <w:rPr>
          <w:rFonts w:cstheme="minorHAnsi"/>
        </w:rPr>
        <w:t xml:space="preserve"> </w:t>
      </w:r>
      <w:r w:rsidR="00CA591D">
        <w:rPr>
          <w:rFonts w:cstheme="minorHAnsi"/>
        </w:rPr>
        <w:t xml:space="preserve">a </w:t>
      </w:r>
      <w:r w:rsidRPr="00BE37B5">
        <w:rPr>
          <w:rFonts w:cstheme="minorHAnsi"/>
        </w:rPr>
        <w:t>selective</w:t>
      </w:r>
      <w:r w:rsidR="00CA591D">
        <w:rPr>
          <w:rFonts w:cstheme="minorHAnsi"/>
        </w:rPr>
        <w:t>, structured</w:t>
      </w:r>
      <w:r w:rsidRPr="00BE37B5">
        <w:rPr>
          <w:rFonts w:cstheme="minorHAnsi"/>
        </w:rPr>
        <w:t xml:space="preserve"> process </w:t>
      </w:r>
      <w:r w:rsidR="009913F9">
        <w:rPr>
          <w:rFonts w:cstheme="minorHAnsi"/>
        </w:rPr>
        <w:t xml:space="preserve">rather </w:t>
      </w:r>
      <w:r w:rsidRPr="00BE37B5">
        <w:rPr>
          <w:rFonts w:cstheme="minorHAnsi"/>
        </w:rPr>
        <w:t>than a sporadic one</w:t>
      </w:r>
      <w:r w:rsidR="009913F9">
        <w:rPr>
          <w:rFonts w:cstheme="minorHAnsi"/>
        </w:rPr>
        <w:t xml:space="preserve"> as postulated by early gentrification research</w:t>
      </w:r>
      <w:r w:rsidRPr="00BE37B5">
        <w:rPr>
          <w:rFonts w:cstheme="minorHAnsi"/>
        </w:rPr>
        <w:t xml:space="preserve">. </w:t>
      </w:r>
      <w:r w:rsidR="00E8524F">
        <w:rPr>
          <w:rFonts w:cstheme="minorHAnsi"/>
        </w:rPr>
        <w:lastRenderedPageBreak/>
        <w:t xml:space="preserve">This observation </w:t>
      </w:r>
      <w:r w:rsidR="00CA591D">
        <w:rPr>
          <w:rFonts w:cstheme="minorHAnsi"/>
        </w:rPr>
        <w:t>compels</w:t>
      </w:r>
      <w:r w:rsidRPr="00BE37B5">
        <w:rPr>
          <w:rFonts w:cstheme="minorHAnsi"/>
        </w:rPr>
        <w:t xml:space="preserve"> </w:t>
      </w:r>
      <w:r>
        <w:rPr>
          <w:rFonts w:cstheme="minorHAnsi"/>
        </w:rPr>
        <w:t>forward</w:t>
      </w:r>
      <w:r w:rsidR="006F1E83">
        <w:rPr>
          <w:rFonts w:cstheme="minorHAnsi"/>
        </w:rPr>
        <w:t>-</w:t>
      </w:r>
      <w:r>
        <w:rPr>
          <w:rFonts w:cstheme="minorHAnsi"/>
        </w:rPr>
        <w:t>looking research that may</w:t>
      </w:r>
      <w:r w:rsidR="00F30B56">
        <w:rPr>
          <w:rFonts w:cstheme="minorHAnsi"/>
        </w:rPr>
        <w:t xml:space="preserve"> anticipate and</w:t>
      </w:r>
      <w:r>
        <w:rPr>
          <w:rFonts w:cstheme="minorHAnsi"/>
        </w:rPr>
        <w:t xml:space="preserve"> mitigate the negative </w:t>
      </w:r>
      <w:r w:rsidR="00E8524F">
        <w:rPr>
          <w:rFonts w:cstheme="minorHAnsi"/>
        </w:rPr>
        <w:t>externalities</w:t>
      </w:r>
      <w:r w:rsidR="00F30B56">
        <w:rPr>
          <w:rFonts w:cstheme="minorHAnsi"/>
        </w:rPr>
        <w:t xml:space="preserve"> of gentrification before</w:t>
      </w:r>
      <w:r w:rsidRPr="00BE37B5">
        <w:rPr>
          <w:rFonts w:cstheme="minorHAnsi"/>
        </w:rPr>
        <w:t xml:space="preserve"> it takes hold in a neighborhood. </w:t>
      </w:r>
      <w:r w:rsidR="004C488A" w:rsidRPr="00BE37B5">
        <w:rPr>
          <w:rFonts w:cstheme="minorHAnsi"/>
        </w:rPr>
        <w:t>Brown-</w:t>
      </w:r>
      <w:proofErr w:type="spellStart"/>
      <w:r w:rsidR="004C488A" w:rsidRPr="00BE37B5">
        <w:rPr>
          <w:rFonts w:cstheme="minorHAnsi"/>
        </w:rPr>
        <w:t>Saracino</w:t>
      </w:r>
      <w:proofErr w:type="spellEnd"/>
      <w:r w:rsidR="004C488A" w:rsidRPr="00BE37B5">
        <w:rPr>
          <w:rFonts w:cstheme="minorHAnsi"/>
        </w:rPr>
        <w:t xml:space="preserve"> </w:t>
      </w:r>
      <w:r w:rsidR="004C488A" w:rsidRPr="00BE37B5">
        <w:rPr>
          <w:rFonts w:cstheme="minorHAnsi"/>
        </w:rPr>
        <w:fldChar w:fldCharType="begin"/>
      </w:r>
      <w:r w:rsidR="004C488A" w:rsidRPr="00BE37B5">
        <w:rPr>
          <w:rFonts w:cstheme="minorHAnsi"/>
        </w:rPr>
        <w:instrText xml:space="preserve"> ADDIN ZOTERO_ITEM CSL_CITATION {"citationID":"4tn1ltQZ","properties":{"formattedCitation":"(2017)","plainCitation":"(2017)","noteIndex":0},"citationItems":[{"id":438,"uris":["http://zotero.org/users/local/Cf6g054j/items/Y45JKXGJ"],"uri":["http://zotero.org/users/local/Cf6g054j/items/Y45JKXGJ"],"itemData":{"id":438,"type":"article-journal","title":"Explicating Divided Approaches to Gentrification and Growing Income Inequality","container-title":"Annual Review of Sociology","page":"515-539","volume":"43","issue":"1","source":"Annual Reviews","abstract":"Contemporary sociology offers competing images of the breadth and consequences of gentrification. One subset presents gentrification as a nearly unstoppable force that plays a prominent role in the spatial reorganization of urban life; another presents it as less monolithic and less momentous for marginalized residents, particularly racial minorities. Although neither camp is methodologically homogenous, more qualitative scholars, typically relying on micro-level analyses of individual neighborhoods, tend to present gentrification as increasingly endemic, advanced, and consequential, whereas more quantitative scholars, typically relying on macro analyses, tend to present it in less dire terms. These competing images of gentrification originate in the fact that each subset of research asks different questions, employs distinct methods, and produces particular answers. Exacerbating and partially driving these divergences are different responses to an anxiety within and beyond the academy about broader spatial and economic shifts, such as growing income inequality.","URL":"https://doi.org/10.1146/annurev-soc-060116-053427","DOI":"10.1146/annurev-soc-060116-053427","author":[{"family":"Brown-Saracino","given":"Japonica"}],"issued":{"date-parts":[["2017"]]},"accessed":{"date-parts":[["2019",6,6]]}},"suppress-author":true}],"schema":"https://github.com/citation-style-language/schema/raw/master/csl-citation.json"} </w:instrText>
      </w:r>
      <w:r w:rsidR="004C488A" w:rsidRPr="00BE37B5">
        <w:rPr>
          <w:rFonts w:cstheme="minorHAnsi"/>
        </w:rPr>
        <w:fldChar w:fldCharType="separate"/>
      </w:r>
      <w:r w:rsidR="004C488A" w:rsidRPr="00BE37B5">
        <w:rPr>
          <w:rFonts w:cstheme="minorHAnsi"/>
        </w:rPr>
        <w:t>(2017)</w:t>
      </w:r>
      <w:r w:rsidR="004C488A" w:rsidRPr="00BE37B5">
        <w:rPr>
          <w:rFonts w:cstheme="minorHAnsi"/>
        </w:rPr>
        <w:fldChar w:fldCharType="end"/>
      </w:r>
      <w:r w:rsidR="004C488A" w:rsidRPr="00BE37B5">
        <w:rPr>
          <w:rFonts w:cstheme="minorHAnsi"/>
        </w:rPr>
        <w:t xml:space="preserve"> describe gentrification as </w:t>
      </w:r>
      <w:r w:rsidR="004C488A">
        <w:rPr>
          <w:rFonts w:cstheme="minorHAnsi"/>
        </w:rPr>
        <w:t xml:space="preserve">a </w:t>
      </w:r>
      <w:r w:rsidR="004C488A" w:rsidRPr="00BE37B5">
        <w:rPr>
          <w:rFonts w:cstheme="minorHAnsi"/>
        </w:rPr>
        <w:t>“contagious</w:t>
      </w:r>
      <w:r w:rsidR="004C488A">
        <w:rPr>
          <w:rFonts w:cstheme="minorHAnsi"/>
        </w:rPr>
        <w:t>”</w:t>
      </w:r>
      <w:r w:rsidR="004C488A" w:rsidRPr="00BE37B5">
        <w:rPr>
          <w:rFonts w:cstheme="minorHAnsi"/>
        </w:rPr>
        <w:t xml:space="preserve"> </w:t>
      </w:r>
      <w:r w:rsidR="004C488A">
        <w:rPr>
          <w:rFonts w:cstheme="minorHAnsi"/>
        </w:rPr>
        <w:t>process which metastasizes from</w:t>
      </w:r>
      <w:r w:rsidR="004C488A" w:rsidRPr="00BE37B5">
        <w:rPr>
          <w:rFonts w:cstheme="minorHAnsi"/>
        </w:rPr>
        <w:t xml:space="preserve"> </w:t>
      </w:r>
      <w:r w:rsidR="004C488A">
        <w:rPr>
          <w:rFonts w:cstheme="minorHAnsi"/>
        </w:rPr>
        <w:t>nearby</w:t>
      </w:r>
      <w:r w:rsidR="004C488A" w:rsidRPr="00BE37B5">
        <w:rPr>
          <w:rFonts w:cstheme="minorHAnsi"/>
        </w:rPr>
        <w:t xml:space="preserve"> gentrifying </w:t>
      </w:r>
      <w:r w:rsidR="004C488A">
        <w:rPr>
          <w:rFonts w:cstheme="minorHAnsi"/>
        </w:rPr>
        <w:t>neighborhoods</w:t>
      </w:r>
      <w:r w:rsidR="004C488A" w:rsidRPr="00BE37B5">
        <w:rPr>
          <w:rFonts w:cstheme="minorHAnsi"/>
        </w:rPr>
        <w:t xml:space="preserve">. </w:t>
      </w:r>
      <w:r w:rsidRPr="00BE37B5">
        <w:rPr>
          <w:rFonts w:cstheme="minorHAnsi"/>
        </w:rPr>
        <w:t>Furthermore, the spatial information uncovered here demonstrates the importance of endogenously engineered variables that factor in adjacent</w:t>
      </w:r>
      <w:r w:rsidR="00F30B56">
        <w:rPr>
          <w:rFonts w:cstheme="minorHAnsi"/>
        </w:rPr>
        <w:t xml:space="preserve"> </w:t>
      </w:r>
      <w:r w:rsidR="00E245EE">
        <w:rPr>
          <w:rFonts w:cstheme="minorHAnsi"/>
        </w:rPr>
        <w:t>c</w:t>
      </w:r>
      <w:r w:rsidR="00F30B56">
        <w:rPr>
          <w:rFonts w:cstheme="minorHAnsi"/>
        </w:rPr>
        <w:t>ensus</w:t>
      </w:r>
      <w:r w:rsidRPr="00BE37B5">
        <w:rPr>
          <w:rFonts w:cstheme="minorHAnsi"/>
        </w:rPr>
        <w:t xml:space="preserve"> characteristics. This extends the scope of the gentrification process beyond a single </w:t>
      </w:r>
      <w:r w:rsidR="00E245EE">
        <w:rPr>
          <w:rFonts w:cstheme="minorHAnsi"/>
        </w:rPr>
        <w:t>c</w:t>
      </w:r>
      <w:r w:rsidRPr="00BE37B5">
        <w:rPr>
          <w:rFonts w:cstheme="minorHAnsi"/>
        </w:rPr>
        <w:t xml:space="preserve">ensus tract, but importantly considers neighboring factors </w:t>
      </w:r>
      <w:r w:rsidR="006F1E83">
        <w:rPr>
          <w:rFonts w:cstheme="minorHAnsi"/>
        </w:rPr>
        <w:t>in</w:t>
      </w:r>
      <w:r w:rsidR="006F1E83" w:rsidRPr="00BE37B5">
        <w:rPr>
          <w:rFonts w:cstheme="minorHAnsi"/>
        </w:rPr>
        <w:t xml:space="preserve"> </w:t>
      </w:r>
      <w:r w:rsidRPr="00BE37B5">
        <w:rPr>
          <w:rFonts w:cstheme="minorHAnsi"/>
        </w:rPr>
        <w:t xml:space="preserve">future risk considerations. </w:t>
      </w:r>
    </w:p>
    <w:p w14:paraId="48785089" w14:textId="3FD6F9E0" w:rsidR="00914450" w:rsidRPr="0050169B" w:rsidRDefault="00914450" w:rsidP="00237A4E">
      <w:pPr>
        <w:autoSpaceDE w:val="0"/>
        <w:autoSpaceDN w:val="0"/>
        <w:adjustRightInd w:val="0"/>
        <w:spacing w:after="0" w:line="240" w:lineRule="auto"/>
        <w:rPr>
          <w:rFonts w:cstheme="minorHAnsi"/>
          <w:sz w:val="20"/>
          <w:szCs w:val="20"/>
        </w:rPr>
      </w:pPr>
    </w:p>
    <w:p w14:paraId="5A56C886" w14:textId="77777777" w:rsidR="00EC787E" w:rsidRPr="0050169B" w:rsidRDefault="00EC787E" w:rsidP="00EC787E">
      <w:pPr>
        <w:autoSpaceDE w:val="0"/>
        <w:autoSpaceDN w:val="0"/>
        <w:adjustRightInd w:val="0"/>
        <w:spacing w:after="0" w:line="240" w:lineRule="auto"/>
        <w:rPr>
          <w:rFonts w:cstheme="minorHAnsi"/>
          <w:sz w:val="20"/>
          <w:szCs w:val="20"/>
        </w:rPr>
      </w:pPr>
    </w:p>
    <w:p w14:paraId="4E579099" w14:textId="77777777" w:rsidR="00EC787E" w:rsidRPr="0050169B" w:rsidRDefault="00EC787E" w:rsidP="00B21B78">
      <w:pPr>
        <w:pStyle w:val="Heading2"/>
      </w:pPr>
      <w:bookmarkStart w:id="0" w:name="_Toc11874306"/>
      <w:bookmarkStart w:id="1" w:name="_Toc14855927"/>
      <w:r w:rsidRPr="0050169B">
        <w:t>Sensitivity</w:t>
      </w:r>
      <w:bookmarkEnd w:id="0"/>
      <w:bookmarkEnd w:id="1"/>
    </w:p>
    <w:p w14:paraId="2B3EC0A3" w14:textId="233C3340" w:rsidR="008B6021" w:rsidRPr="00A36714" w:rsidRDefault="00141BEC" w:rsidP="00A36714">
      <w:pPr>
        <w:ind w:firstLine="720"/>
        <w:rPr>
          <w:rFonts w:cstheme="minorHAnsi"/>
        </w:rPr>
      </w:pPr>
      <w:r>
        <w:rPr>
          <w:rFonts w:cstheme="minorHAnsi"/>
        </w:rPr>
        <w:t>Figure</w:t>
      </w:r>
      <w:r w:rsidR="00EC787E" w:rsidRPr="005502B3">
        <w:rPr>
          <w:rFonts w:cstheme="minorHAnsi"/>
        </w:rPr>
        <w:t xml:space="preserve"> </w:t>
      </w:r>
      <w:r>
        <w:rPr>
          <w:rFonts w:cstheme="minorHAnsi"/>
        </w:rPr>
        <w:t xml:space="preserve">7 </w:t>
      </w:r>
      <w:r w:rsidR="00EC787E" w:rsidRPr="005502B3">
        <w:rPr>
          <w:rFonts w:cstheme="minorHAnsi"/>
        </w:rPr>
        <w:t xml:space="preserve">shows the mapped </w:t>
      </w:r>
      <w:r w:rsidR="00237A4E">
        <w:rPr>
          <w:rFonts w:cstheme="minorHAnsi"/>
        </w:rPr>
        <w:t xml:space="preserve">results and </w:t>
      </w:r>
      <w:r w:rsidR="00EC787E" w:rsidRPr="005502B3">
        <w:rPr>
          <w:rFonts w:cstheme="minorHAnsi"/>
        </w:rPr>
        <w:t xml:space="preserve">sensitivity </w:t>
      </w:r>
      <w:r w:rsidR="00237A4E">
        <w:rPr>
          <w:rFonts w:cstheme="minorHAnsi"/>
        </w:rPr>
        <w:t xml:space="preserve">of changing cluster sizes, K. </w:t>
      </w:r>
      <w:r w:rsidR="00EC787E" w:rsidRPr="005502B3">
        <w:rPr>
          <w:rFonts w:cstheme="minorHAnsi"/>
        </w:rPr>
        <w:t xml:space="preserve"> A </w:t>
      </w:r>
      <w:r w:rsidR="009913F9">
        <w:rPr>
          <w:rFonts w:cstheme="minorHAnsi"/>
        </w:rPr>
        <w:t>typology</w:t>
      </w:r>
      <w:r w:rsidR="00EC787E" w:rsidRPr="005502B3">
        <w:rPr>
          <w:rFonts w:cstheme="minorHAnsi"/>
        </w:rPr>
        <w:t xml:space="preserve"> </w:t>
      </w:r>
      <w:r w:rsidR="009913F9">
        <w:rPr>
          <w:rFonts w:cstheme="minorHAnsi"/>
        </w:rPr>
        <w:t xml:space="preserve">consistent with </w:t>
      </w:r>
      <w:r w:rsidR="00EC787E" w:rsidRPr="005502B3">
        <w:rPr>
          <w:rFonts w:cstheme="minorHAnsi"/>
        </w:rPr>
        <w:t xml:space="preserve">gentrification is apparent </w:t>
      </w:r>
      <w:r w:rsidR="009913F9">
        <w:rPr>
          <w:rFonts w:cstheme="minorHAnsi"/>
        </w:rPr>
        <w:t>at all cluster sizes, suggesting the process</w:t>
      </w:r>
      <w:r w:rsidR="00EC787E" w:rsidRPr="005502B3">
        <w:rPr>
          <w:rFonts w:cstheme="minorHAnsi"/>
        </w:rPr>
        <w:t xml:space="preserve"> is one of the most dominant and distinguishable patterns of neighborhood cha</w:t>
      </w:r>
      <w:r>
        <w:rPr>
          <w:rFonts w:cstheme="minorHAnsi"/>
        </w:rPr>
        <w:t>nge in Nashville</w:t>
      </w:r>
      <w:r w:rsidR="00F30B56">
        <w:rPr>
          <w:rFonts w:cstheme="minorHAnsi"/>
        </w:rPr>
        <w:t>.</w:t>
      </w:r>
      <w:r w:rsidR="00EA1C69">
        <w:rPr>
          <w:rFonts w:cstheme="minorHAnsi"/>
        </w:rPr>
        <w:t xml:space="preserve"> At</w:t>
      </w:r>
      <w:r w:rsidR="00F30B56">
        <w:rPr>
          <w:rFonts w:cstheme="minorHAnsi"/>
        </w:rPr>
        <w:t xml:space="preserve"> K</w:t>
      </w:r>
      <w:r w:rsidR="00EC787E" w:rsidRPr="005502B3">
        <w:rPr>
          <w:rFonts w:cstheme="minorHAnsi"/>
        </w:rPr>
        <w:t xml:space="preserve">=5, a portion of the </w:t>
      </w:r>
      <w:r w:rsidR="00EA1C69">
        <w:rPr>
          <w:rFonts w:cstheme="minorHAnsi"/>
        </w:rPr>
        <w:t>rural</w:t>
      </w:r>
      <w:r w:rsidR="00F30B56">
        <w:rPr>
          <w:rFonts w:cstheme="minorHAnsi"/>
        </w:rPr>
        <w:t xml:space="preserve"> tracts</w:t>
      </w:r>
      <w:r w:rsidR="00EC787E" w:rsidRPr="005502B3">
        <w:rPr>
          <w:rFonts w:cstheme="minorHAnsi"/>
        </w:rPr>
        <w:t xml:space="preserve"> (</w:t>
      </w:r>
      <w:r w:rsidR="00F81246">
        <w:rPr>
          <w:rFonts w:cstheme="minorHAnsi"/>
        </w:rPr>
        <w:t xml:space="preserve">Cluster </w:t>
      </w:r>
      <w:r w:rsidR="00EA1C69">
        <w:rPr>
          <w:rFonts w:cstheme="minorHAnsi"/>
        </w:rPr>
        <w:t>1</w:t>
      </w:r>
      <w:r w:rsidR="00EC787E" w:rsidRPr="005502B3">
        <w:rPr>
          <w:rFonts w:cstheme="minorHAnsi"/>
        </w:rPr>
        <w:t xml:space="preserve">) are </w:t>
      </w:r>
      <w:r>
        <w:rPr>
          <w:rFonts w:cstheme="minorHAnsi"/>
        </w:rPr>
        <w:t>partitioned</w:t>
      </w:r>
      <w:r w:rsidR="00F30B56">
        <w:rPr>
          <w:rFonts w:cstheme="minorHAnsi"/>
        </w:rPr>
        <w:t xml:space="preserve"> into </w:t>
      </w:r>
      <w:r w:rsidR="00EA1C69">
        <w:rPr>
          <w:rFonts w:cstheme="minorHAnsi"/>
        </w:rPr>
        <w:t>a</w:t>
      </w:r>
      <w:r w:rsidR="00F30B56">
        <w:rPr>
          <w:rFonts w:cstheme="minorHAnsi"/>
        </w:rPr>
        <w:t xml:space="preserve"> </w:t>
      </w:r>
      <w:r w:rsidR="00EC787E" w:rsidRPr="005502B3">
        <w:rPr>
          <w:rFonts w:cstheme="minorHAnsi"/>
        </w:rPr>
        <w:t>fifth cluster. This additional cluster contains tracts with more moderate property value increases as well as lower</w:t>
      </w:r>
      <w:r w:rsidR="00E8524F">
        <w:rPr>
          <w:rFonts w:cstheme="minorHAnsi"/>
        </w:rPr>
        <w:t xml:space="preserve"> relative</w:t>
      </w:r>
      <w:r w:rsidR="00EC787E" w:rsidRPr="005502B3">
        <w:rPr>
          <w:rFonts w:cstheme="minorHAnsi"/>
        </w:rPr>
        <w:t xml:space="preserve"> decreases in non-white populations compared with the remaining gentrifying areas (</w:t>
      </w:r>
      <w:r w:rsidR="00F81246">
        <w:rPr>
          <w:rFonts w:cstheme="minorHAnsi"/>
        </w:rPr>
        <w:t xml:space="preserve">Cluster </w:t>
      </w:r>
      <w:r w:rsidR="00EC787E" w:rsidRPr="005502B3">
        <w:rPr>
          <w:rFonts w:cstheme="minorHAnsi"/>
        </w:rPr>
        <w:t xml:space="preserve">2).  This suggests that the selection of K clusters may be relatively insensitive up to four clusters, after which a portion of the gentrified areas more closely </w:t>
      </w:r>
      <w:r w:rsidR="00E8524F">
        <w:rPr>
          <w:rFonts w:cstheme="minorHAnsi"/>
        </w:rPr>
        <w:t>align with</w:t>
      </w:r>
      <w:r w:rsidR="00EC787E" w:rsidRPr="005502B3">
        <w:rPr>
          <w:rFonts w:cstheme="minorHAnsi"/>
        </w:rPr>
        <w:t xml:space="preserve"> other areas and their associated change </w:t>
      </w:r>
      <w:r w:rsidR="00E8524F">
        <w:rPr>
          <w:rFonts w:cstheme="minorHAnsi"/>
        </w:rPr>
        <w:t>trajectories</w:t>
      </w:r>
      <w:r w:rsidR="00EC787E" w:rsidRPr="005502B3">
        <w:rPr>
          <w:rFonts w:cstheme="minorHAnsi"/>
        </w:rPr>
        <w:t xml:space="preserve">.  </w:t>
      </w:r>
      <w:r w:rsidR="00FB3B1F">
        <w:rPr>
          <w:rFonts w:cstheme="minorHAnsi"/>
        </w:rPr>
        <w:t>The</w:t>
      </w:r>
      <w:r w:rsidR="00EC787E" w:rsidRPr="005502B3">
        <w:rPr>
          <w:rFonts w:cstheme="minorHAnsi"/>
        </w:rPr>
        <w:t xml:space="preserve"> specification of a larger K could allow for differentiation between different types of </w:t>
      </w:r>
      <w:proofErr w:type="gramStart"/>
      <w:r w:rsidR="00EC787E" w:rsidRPr="005502B3">
        <w:rPr>
          <w:rFonts w:cstheme="minorHAnsi"/>
        </w:rPr>
        <w:t>gentrification</w:t>
      </w:r>
      <w:proofErr w:type="gramEnd"/>
      <w:r w:rsidR="00EC787E" w:rsidRPr="005502B3">
        <w:rPr>
          <w:rFonts w:cstheme="minorHAnsi"/>
        </w:rPr>
        <w:t xml:space="preserve"> (moderate/advanced, early/mature, or displacement/incumbent upgrading).</w:t>
      </w:r>
    </w:p>
    <w:p w14:paraId="613A3EEF" w14:textId="3CF3314D" w:rsidR="00141BEC" w:rsidRDefault="00AF53ED" w:rsidP="008B6021">
      <w:pPr>
        <w:keepNext/>
        <w:jc w:val="center"/>
      </w:pPr>
      <w:r>
        <w:rPr>
          <w:noProof/>
        </w:rPr>
        <w:lastRenderedPageBreak/>
        <w:drawing>
          <wp:inline distT="0" distB="0" distL="0" distR="0" wp14:anchorId="79D7068A" wp14:editId="68087E70">
            <wp:extent cx="6759406" cy="450337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59406" cy="4503378"/>
                    </a:xfrm>
                    <a:prstGeom prst="rect">
                      <a:avLst/>
                    </a:prstGeom>
                    <a:noFill/>
                    <a:ln>
                      <a:noFill/>
                    </a:ln>
                  </pic:spPr>
                </pic:pic>
              </a:graphicData>
            </a:graphic>
          </wp:inline>
        </w:drawing>
      </w:r>
    </w:p>
    <w:p w14:paraId="343C348B" w14:textId="1F08C508" w:rsidR="00EC787E" w:rsidRPr="009E185D" w:rsidRDefault="00141BEC" w:rsidP="00AD3FC0">
      <w:pPr>
        <w:pStyle w:val="Caption"/>
        <w:jc w:val="center"/>
        <w:rPr>
          <w:rFonts w:cstheme="minorHAnsi"/>
          <w:sz w:val="20"/>
          <w:szCs w:val="20"/>
        </w:rPr>
      </w:pPr>
      <w:r w:rsidRPr="009E185D">
        <w:rPr>
          <w:sz w:val="20"/>
          <w:szCs w:val="20"/>
        </w:rPr>
        <w:t xml:space="preserve">Figure </w:t>
      </w:r>
      <w:r w:rsidRPr="009E185D">
        <w:rPr>
          <w:sz w:val="20"/>
          <w:szCs w:val="20"/>
        </w:rPr>
        <w:fldChar w:fldCharType="begin"/>
      </w:r>
      <w:r w:rsidRPr="009E185D">
        <w:rPr>
          <w:sz w:val="20"/>
          <w:szCs w:val="20"/>
        </w:rPr>
        <w:instrText xml:space="preserve"> SEQ Figure \* ARABIC </w:instrText>
      </w:r>
      <w:r w:rsidRPr="009E185D">
        <w:rPr>
          <w:sz w:val="20"/>
          <w:szCs w:val="20"/>
        </w:rPr>
        <w:fldChar w:fldCharType="separate"/>
      </w:r>
      <w:r w:rsidR="0041367A" w:rsidRPr="009E185D">
        <w:rPr>
          <w:noProof/>
          <w:sz w:val="20"/>
          <w:szCs w:val="20"/>
        </w:rPr>
        <w:t>9</w:t>
      </w:r>
      <w:r w:rsidRPr="009E185D">
        <w:rPr>
          <w:sz w:val="20"/>
          <w:szCs w:val="20"/>
        </w:rPr>
        <w:fldChar w:fldCharType="end"/>
      </w:r>
      <w:r w:rsidRPr="009E185D">
        <w:rPr>
          <w:sz w:val="20"/>
          <w:szCs w:val="20"/>
        </w:rPr>
        <w:t>. Davidson County K-means clustering sensitivity</w:t>
      </w:r>
    </w:p>
    <w:p w14:paraId="6D2FB624" w14:textId="37271FDB" w:rsidR="00A57BCD" w:rsidRDefault="00EC787E" w:rsidP="00A57BCD">
      <w:pPr>
        <w:pStyle w:val="Heading1"/>
      </w:pPr>
      <w:r>
        <w:t xml:space="preserve">Conclusion </w:t>
      </w:r>
    </w:p>
    <w:p w14:paraId="5C8E3FF8" w14:textId="493B792C" w:rsidR="001A569D" w:rsidRDefault="001A569D" w:rsidP="006718EB">
      <w:pPr>
        <w:ind w:firstLine="432"/>
      </w:pPr>
      <w:r>
        <w:rPr>
          <w:rFonts w:ascii="Calibri" w:hAnsi="Calibri" w:cs="Calibri"/>
          <w:color w:val="000000"/>
        </w:rPr>
        <w:t xml:space="preserve">Gentrification is a uniquely dynamic socio-economic force that has resisted the best efforts of scholars to abstract, generalize, and measure. </w:t>
      </w:r>
      <w:r>
        <w:t xml:space="preserve">There remains a conspicuous disconnect between the theoretical advancements of gentrification and the practical methods used to identify </w:t>
      </w:r>
      <w:r w:rsidR="00E245EE">
        <w:t xml:space="preserve">it </w:t>
      </w:r>
      <w:r>
        <w:t xml:space="preserve">in a consistent and precise way. Much of the confusion in gentrification research can be traced back to the process’s usefulness in advancing </w:t>
      </w:r>
      <w:r w:rsidR="00DF5003">
        <w:t>broader</w:t>
      </w:r>
      <w:r w:rsidR="00DF5003">
        <w:t xml:space="preserve"> </w:t>
      </w:r>
      <w:r>
        <w:t xml:space="preserve">social, political, and economic ideologies. We see as an initial remedy on the research front, the </w:t>
      </w:r>
      <w:r>
        <w:rPr>
          <w:rFonts w:ascii="Calibri" w:hAnsi="Calibri" w:cs="Calibri"/>
          <w:color w:val="000000"/>
        </w:rPr>
        <w:t xml:space="preserve">need to mitigate subjectiveness ingrained in the quantitative methods that are foundational </w:t>
      </w:r>
      <w:r w:rsidR="00E245EE">
        <w:rPr>
          <w:rFonts w:ascii="Calibri" w:hAnsi="Calibri" w:cs="Calibri"/>
          <w:color w:val="000000"/>
        </w:rPr>
        <w:t xml:space="preserve">to </w:t>
      </w:r>
      <w:r>
        <w:rPr>
          <w:rFonts w:ascii="Calibri" w:hAnsi="Calibri" w:cs="Calibri"/>
          <w:color w:val="000000"/>
        </w:rPr>
        <w:t>an entire</w:t>
      </w:r>
      <w:r w:rsidRPr="00EB35D8">
        <w:rPr>
          <w:rFonts w:ascii="Calibri" w:hAnsi="Calibri" w:cs="Calibri"/>
          <w:color w:val="000000"/>
        </w:rPr>
        <w:t xml:space="preserve"> </w:t>
      </w:r>
      <w:r>
        <w:rPr>
          <w:rFonts w:ascii="Calibri" w:hAnsi="Calibri" w:cs="Calibri"/>
          <w:color w:val="000000"/>
        </w:rPr>
        <w:t>subfield</w:t>
      </w:r>
      <w:r w:rsidRPr="00EB35D8">
        <w:rPr>
          <w:rFonts w:ascii="Calibri" w:hAnsi="Calibri" w:cs="Calibri"/>
          <w:color w:val="000000"/>
        </w:rPr>
        <w:t xml:space="preserve"> </w:t>
      </w:r>
      <w:r>
        <w:rPr>
          <w:rFonts w:ascii="Calibri" w:hAnsi="Calibri" w:cs="Calibri"/>
          <w:color w:val="000000"/>
        </w:rPr>
        <w:t xml:space="preserve">of </w:t>
      </w:r>
      <w:r w:rsidRPr="00EB35D8">
        <w:rPr>
          <w:rFonts w:ascii="Calibri" w:hAnsi="Calibri" w:cs="Calibri"/>
          <w:color w:val="000000"/>
        </w:rPr>
        <w:t>research on the consequences of gentrification</w:t>
      </w:r>
      <w:r>
        <w:rPr>
          <w:rFonts w:ascii="Calibri" w:hAnsi="Calibri" w:cs="Calibri"/>
          <w:color w:val="000000"/>
        </w:rPr>
        <w:t xml:space="preserve">. </w:t>
      </w:r>
      <w:r w:rsidRPr="00EB35D8">
        <w:rPr>
          <w:rFonts w:ascii="Calibri" w:hAnsi="Calibri" w:cs="Calibri"/>
          <w:color w:val="000000"/>
        </w:rPr>
        <w:t xml:space="preserve"> </w:t>
      </w:r>
    </w:p>
    <w:p w14:paraId="4F019695" w14:textId="5A445418" w:rsidR="001A569D" w:rsidRDefault="001A569D" w:rsidP="006718EB">
      <w:pPr>
        <w:ind w:firstLine="432"/>
      </w:pPr>
      <w:r>
        <w:t>Ironically, r</w:t>
      </w:r>
      <w:r w:rsidR="00DC6AFE">
        <w:t xml:space="preserve">esidents </w:t>
      </w:r>
      <w:r w:rsidR="001E71C8">
        <w:t xml:space="preserve">facing the </w:t>
      </w:r>
      <w:r w:rsidR="00DC6AFE">
        <w:t>financial and social threat</w:t>
      </w:r>
      <w:r w:rsidR="001E71C8">
        <w:t>s</w:t>
      </w:r>
      <w:r w:rsidR="00DC6AFE">
        <w:t xml:space="preserve"> </w:t>
      </w:r>
      <w:r w:rsidR="001E71C8">
        <w:t>of</w:t>
      </w:r>
      <w:r w:rsidR="00DC6AFE">
        <w:t xml:space="preserve"> gentrification </w:t>
      </w:r>
      <w:r w:rsidR="00E245EE">
        <w:t>do not</w:t>
      </w:r>
      <w:r w:rsidR="00DC6AFE">
        <w:t xml:space="preserve"> need a machine learning algorithm to tell them their neighborhood is undergoing gentrification. What is self-evident on the ground-level </w:t>
      </w:r>
      <w:r w:rsidR="001E71C8">
        <w:t>has proved to be</w:t>
      </w:r>
      <w:r w:rsidR="00DC6AFE">
        <w:t xml:space="preserve"> anything but </w:t>
      </w:r>
      <w:r w:rsidR="001E71C8">
        <w:t>quantitatively</w:t>
      </w:r>
      <w:r w:rsidR="00E245EE">
        <w:t xml:space="preserve"> for researchers</w:t>
      </w:r>
      <w:r w:rsidR="00DC6AFE">
        <w:t>.</w:t>
      </w:r>
      <w:r w:rsidR="001E71C8">
        <w:t xml:space="preserve"> </w:t>
      </w:r>
      <w:r>
        <w:t>The pairing of emotionless machine learning methods with a deeply personal experience like gentrification feel</w:t>
      </w:r>
      <w:r w:rsidR="00E245EE">
        <w:t>s</w:t>
      </w:r>
      <w:r>
        <w:t xml:space="preserve"> contradictory. However, it is precisely because of this dichotomy that we must embrace more objective tools that identify real patterns rather than reproduce our own assumptions and biases. As the conceptual understanding of gentrification has evolved, the techniques used to measure the process should similarly evolve. Researchers have the responsibility to explore less biased alternatives that can capture the multiple dimensions and complexity that the process represents. Consistent, transparent, </w:t>
      </w:r>
      <w:r>
        <w:lastRenderedPageBreak/>
        <w:t>and contemporary research will go a long way in our efforts to create more socially just and equitable communities.</w:t>
      </w:r>
    </w:p>
    <w:p w14:paraId="1EEEC70E" w14:textId="1F7ACD82" w:rsidR="00697658" w:rsidRDefault="009A4609" w:rsidP="00697658">
      <w:pPr>
        <w:ind w:firstLine="720"/>
        <w:rPr>
          <w:rFonts w:cstheme="minorHAnsi"/>
        </w:rPr>
      </w:pPr>
      <w:r w:rsidRPr="00BE37B5">
        <w:rPr>
          <w:rFonts w:cstheme="minorHAnsi"/>
        </w:rPr>
        <w:t xml:space="preserve">Future work would benefit from evaluating both the spatial extent and magnitudes of gentrification </w:t>
      </w:r>
      <w:r w:rsidR="00F30B56">
        <w:rPr>
          <w:rFonts w:cstheme="minorHAnsi"/>
        </w:rPr>
        <w:t xml:space="preserve">across different cities. </w:t>
      </w:r>
      <w:r w:rsidRPr="00BE37B5">
        <w:rPr>
          <w:rFonts w:cstheme="minorHAnsi"/>
        </w:rPr>
        <w:t xml:space="preserve">City-specific data sources </w:t>
      </w:r>
      <w:r w:rsidR="002028A2">
        <w:rPr>
          <w:rFonts w:cstheme="minorHAnsi"/>
        </w:rPr>
        <w:t>such as</w:t>
      </w:r>
      <w:r w:rsidR="002028A2" w:rsidRPr="00BE37B5">
        <w:rPr>
          <w:rFonts w:cstheme="minorHAnsi"/>
        </w:rPr>
        <w:t xml:space="preserve"> </w:t>
      </w:r>
      <w:r w:rsidRPr="00BE37B5">
        <w:rPr>
          <w:rFonts w:cstheme="minorHAnsi"/>
        </w:rPr>
        <w:t>building permits, evictions, code violations, and home appraisal/sales values</w:t>
      </w:r>
      <w:r w:rsidR="00697658">
        <w:rPr>
          <w:rFonts w:cstheme="minorHAnsi"/>
        </w:rPr>
        <w:t xml:space="preserve"> </w:t>
      </w:r>
      <w:r w:rsidR="00FB5F6B">
        <w:rPr>
          <w:rFonts w:cstheme="minorHAnsi"/>
        </w:rPr>
        <w:t>are largely</w:t>
      </w:r>
      <w:r w:rsidR="00697658">
        <w:rPr>
          <w:rFonts w:cstheme="minorHAnsi"/>
        </w:rPr>
        <w:t xml:space="preserve"> </w:t>
      </w:r>
      <w:r w:rsidRPr="00BE37B5">
        <w:rPr>
          <w:rFonts w:cstheme="minorHAnsi"/>
        </w:rPr>
        <w:t>untapped metrics that can be incorporated into this multi-dimensional framework.</w:t>
      </w:r>
      <w:r w:rsidR="003D6FE4">
        <w:rPr>
          <w:rFonts w:cstheme="minorHAnsi"/>
        </w:rPr>
        <w:t xml:space="preserve"> </w:t>
      </w:r>
      <w:r w:rsidR="00273568">
        <w:t>Finally</w:t>
      </w:r>
      <w:r w:rsidR="00E245EE">
        <w:t>, gentrification research may find more success with forward-looking research</w:t>
      </w:r>
      <w:r w:rsidR="00273568">
        <w:t xml:space="preserve">, </w:t>
      </w:r>
      <w:r w:rsidR="00E245EE">
        <w:t>mitigative</w:t>
      </w:r>
      <w:r w:rsidR="00273568">
        <w:t xml:space="preserve"> in approach</w:t>
      </w:r>
      <w:r w:rsidR="00E245EE">
        <w:t xml:space="preserve"> rather than adaptive. Policies to combat gentrification may </w:t>
      </w:r>
      <w:r w:rsidR="00C134E2">
        <w:t>prove</w:t>
      </w:r>
      <w:r w:rsidR="00E245EE">
        <w:t xml:space="preserve"> too late once it is observed on the ground. Reactionary policies have </w:t>
      </w:r>
      <w:r w:rsidR="00C134E2">
        <w:t>been</w:t>
      </w:r>
      <w:r w:rsidR="00E245EE">
        <w:t xml:space="preserve"> largely inadequate in their attempts to stall the economic and preference-based engines powering gentrification. However, policies that are implemented before gentrification takes a hold of a neighborhood may find more support.</w:t>
      </w:r>
      <w:r w:rsidR="00273568">
        <w:t xml:space="preserve"> For this, predictive machine learning may again offer an opportunity to learn from the common characteristics that gentrified neighborhoods shared in the past and direct resources that build and protect existing residents’ capacity to stay in areas most likely threatened in the future. </w:t>
      </w:r>
    </w:p>
    <w:p w14:paraId="02286F50" w14:textId="0625BA81" w:rsidR="00EC787E" w:rsidRDefault="00351B69" w:rsidP="00697658">
      <w:pPr>
        <w:ind w:firstLine="720"/>
        <w:rPr>
          <w:rFonts w:cstheme="minorHAnsi"/>
        </w:rPr>
      </w:pPr>
      <w:r>
        <w:rPr>
          <w:rFonts w:cstheme="minorHAnsi"/>
        </w:rPr>
        <w:t xml:space="preserve">To </w:t>
      </w:r>
      <w:r w:rsidR="00C134E2">
        <w:rPr>
          <w:rFonts w:cstheme="minorHAnsi"/>
        </w:rPr>
        <w:t xml:space="preserve">truly </w:t>
      </w:r>
      <w:r>
        <w:rPr>
          <w:rFonts w:cstheme="minorHAnsi"/>
        </w:rPr>
        <w:t>advance, we must uncomfortably recognize that our endeavors</w:t>
      </w:r>
      <w:r w:rsidR="00AD3FC0">
        <w:rPr>
          <w:rFonts w:cstheme="minorHAnsi"/>
        </w:rPr>
        <w:t xml:space="preserve"> to</w:t>
      </w:r>
      <w:r w:rsidR="00697658">
        <w:rPr>
          <w:rFonts w:cstheme="minorHAnsi"/>
        </w:rPr>
        <w:t xml:space="preserve"> classify, categorize,</w:t>
      </w:r>
      <w:r w:rsidR="00D36E26">
        <w:rPr>
          <w:rFonts w:cstheme="minorHAnsi"/>
        </w:rPr>
        <w:t xml:space="preserve"> generalize,</w:t>
      </w:r>
      <w:r w:rsidR="00697658">
        <w:rPr>
          <w:rFonts w:cstheme="minorHAnsi"/>
        </w:rPr>
        <w:t xml:space="preserve"> or otherwise distinguish</w:t>
      </w:r>
      <w:r w:rsidR="00AD3FC0">
        <w:rPr>
          <w:rFonts w:cstheme="minorHAnsi"/>
        </w:rPr>
        <w:t xml:space="preserve"> </w:t>
      </w:r>
      <w:r w:rsidR="00EC787E" w:rsidRPr="00BE37B5">
        <w:rPr>
          <w:rFonts w:cstheme="minorHAnsi"/>
        </w:rPr>
        <w:t>gentrification</w:t>
      </w:r>
      <w:r w:rsidR="00697658">
        <w:rPr>
          <w:rFonts w:cstheme="minorHAnsi"/>
        </w:rPr>
        <w:t xml:space="preserve"> apart from other types of neighborhood change </w:t>
      </w:r>
      <w:r>
        <w:rPr>
          <w:rFonts w:cstheme="minorHAnsi"/>
        </w:rPr>
        <w:t>are</w:t>
      </w:r>
      <w:r w:rsidR="00EC787E" w:rsidRPr="00BE37B5">
        <w:rPr>
          <w:rFonts w:cstheme="minorHAnsi"/>
        </w:rPr>
        <w:t xml:space="preserve"> </w:t>
      </w:r>
      <w:r w:rsidR="00FD0DB9">
        <w:rPr>
          <w:rFonts w:cstheme="minorHAnsi"/>
        </w:rPr>
        <w:t>deeply human classification</w:t>
      </w:r>
      <w:r w:rsidR="00EC787E" w:rsidRPr="00BE37B5">
        <w:rPr>
          <w:rFonts w:cstheme="minorHAnsi"/>
        </w:rPr>
        <w:t xml:space="preserve"> </w:t>
      </w:r>
      <w:r w:rsidR="00697658" w:rsidRPr="00BE37B5">
        <w:rPr>
          <w:rFonts w:cstheme="minorHAnsi"/>
        </w:rPr>
        <w:t>e</w:t>
      </w:r>
      <w:r w:rsidR="00697658">
        <w:rPr>
          <w:rFonts w:cstheme="minorHAnsi"/>
        </w:rPr>
        <w:t>xercise</w:t>
      </w:r>
      <w:r w:rsidR="00D36E26">
        <w:rPr>
          <w:rFonts w:cstheme="minorHAnsi"/>
        </w:rPr>
        <w:t>s</w:t>
      </w:r>
      <w:r w:rsidR="00FD0DB9">
        <w:rPr>
          <w:rFonts w:cstheme="minorHAnsi"/>
        </w:rPr>
        <w:t xml:space="preserve"> that are</w:t>
      </w:r>
      <w:r w:rsidR="00D36E26">
        <w:rPr>
          <w:rFonts w:cstheme="minorHAnsi"/>
        </w:rPr>
        <w:t xml:space="preserve"> </w:t>
      </w:r>
      <w:r w:rsidR="00FF2009">
        <w:rPr>
          <w:rFonts w:cstheme="minorHAnsi"/>
        </w:rPr>
        <w:t>shaped by our own</w:t>
      </w:r>
      <w:r w:rsidR="00D36E26">
        <w:rPr>
          <w:rFonts w:cstheme="minorHAnsi"/>
        </w:rPr>
        <w:t xml:space="preserve"> bias and subjectivity</w:t>
      </w:r>
      <w:r w:rsidR="00CB6B1E">
        <w:rPr>
          <w:rFonts w:cstheme="minorHAnsi"/>
        </w:rPr>
        <w:t xml:space="preserve">. </w:t>
      </w:r>
      <w:r w:rsidR="00EC787E" w:rsidRPr="00BE37B5">
        <w:rPr>
          <w:rFonts w:cstheme="minorHAnsi"/>
        </w:rPr>
        <w:t xml:space="preserve">The radical diversity of </w:t>
      </w:r>
      <w:r w:rsidR="00D36E26">
        <w:rPr>
          <w:rFonts w:cstheme="minorHAnsi"/>
        </w:rPr>
        <w:t xml:space="preserve">gentrification research </w:t>
      </w:r>
      <w:r w:rsidR="00EC787E" w:rsidRPr="00BE37B5">
        <w:rPr>
          <w:rFonts w:cstheme="minorHAnsi"/>
        </w:rPr>
        <w:t>method</w:t>
      </w:r>
      <w:r w:rsidR="00E414A4">
        <w:rPr>
          <w:rFonts w:cstheme="minorHAnsi"/>
        </w:rPr>
        <w:t>s align</w:t>
      </w:r>
      <w:r w:rsidR="00FD0DB9">
        <w:rPr>
          <w:rFonts w:cstheme="minorHAnsi"/>
        </w:rPr>
        <w:t>s</w:t>
      </w:r>
      <w:r w:rsidR="00E414A4">
        <w:rPr>
          <w:rFonts w:cstheme="minorHAnsi"/>
        </w:rPr>
        <w:t xml:space="preserve"> </w:t>
      </w:r>
      <w:r>
        <w:rPr>
          <w:rFonts w:cstheme="minorHAnsi"/>
        </w:rPr>
        <w:t>closer with</w:t>
      </w:r>
      <w:r w:rsidR="00E414A4">
        <w:rPr>
          <w:rFonts w:cstheme="minorHAnsi"/>
        </w:rPr>
        <w:t xml:space="preserve"> </w:t>
      </w:r>
      <w:r w:rsidR="00EC787E" w:rsidRPr="00BE37B5">
        <w:rPr>
          <w:rFonts w:cstheme="minorHAnsi"/>
        </w:rPr>
        <w:t>individual experience</w:t>
      </w:r>
      <w:r>
        <w:rPr>
          <w:rFonts w:cstheme="minorHAnsi"/>
        </w:rPr>
        <w:t>s</w:t>
      </w:r>
      <w:r w:rsidR="00EC787E" w:rsidRPr="00BE37B5">
        <w:rPr>
          <w:rFonts w:cstheme="minorHAnsi"/>
        </w:rPr>
        <w:t>, personal heuristics,</w:t>
      </w:r>
      <w:r w:rsidR="005D4540">
        <w:rPr>
          <w:rFonts w:cstheme="minorHAnsi"/>
        </w:rPr>
        <w:t xml:space="preserve"> politics,</w:t>
      </w:r>
      <w:r w:rsidR="00EC787E" w:rsidRPr="00BE37B5">
        <w:rPr>
          <w:rFonts w:cstheme="minorHAnsi"/>
        </w:rPr>
        <w:t xml:space="preserve"> and expectations than objective science. </w:t>
      </w:r>
      <w:r w:rsidR="003D6FE4">
        <w:rPr>
          <w:rFonts w:cstheme="minorHAnsi"/>
        </w:rPr>
        <w:t>U</w:t>
      </w:r>
      <w:r w:rsidR="00EC787E" w:rsidRPr="00BE37B5">
        <w:rPr>
          <w:rFonts w:cstheme="minorHAnsi"/>
        </w:rPr>
        <w:t>rban change r</w:t>
      </w:r>
      <w:r w:rsidR="00CB6B1E">
        <w:rPr>
          <w:rFonts w:cstheme="minorHAnsi"/>
        </w:rPr>
        <w:t xml:space="preserve">esearch </w:t>
      </w:r>
      <w:r>
        <w:rPr>
          <w:rFonts w:cstheme="minorHAnsi"/>
        </w:rPr>
        <w:t>is inextricably</w:t>
      </w:r>
      <w:r w:rsidR="00EC787E" w:rsidRPr="00BE37B5">
        <w:rPr>
          <w:rFonts w:cstheme="minorHAnsi"/>
        </w:rPr>
        <w:t xml:space="preserve"> </w:t>
      </w:r>
      <w:r w:rsidR="00E62B7C">
        <w:rPr>
          <w:rFonts w:cstheme="minorHAnsi"/>
        </w:rPr>
        <w:t xml:space="preserve">responsible for </w:t>
      </w:r>
      <w:r w:rsidR="00EC787E" w:rsidRPr="00BE37B5">
        <w:rPr>
          <w:rFonts w:cstheme="minorHAnsi"/>
        </w:rPr>
        <w:t>crystallizing</w:t>
      </w:r>
      <w:r>
        <w:rPr>
          <w:rFonts w:cstheme="minorHAnsi"/>
        </w:rPr>
        <w:t xml:space="preserve"> </w:t>
      </w:r>
      <w:r w:rsidR="00EC787E" w:rsidRPr="00BE37B5">
        <w:rPr>
          <w:rFonts w:cstheme="minorHAnsi"/>
        </w:rPr>
        <w:t>public</w:t>
      </w:r>
      <w:r>
        <w:rPr>
          <w:rFonts w:cstheme="minorHAnsi"/>
        </w:rPr>
        <w:t xml:space="preserve"> opinion</w:t>
      </w:r>
      <w:r w:rsidR="00EC787E" w:rsidRPr="00BE37B5">
        <w:rPr>
          <w:rFonts w:cstheme="minorHAnsi"/>
        </w:rPr>
        <w:t xml:space="preserve"> and</w:t>
      </w:r>
      <w:r w:rsidR="00E62B7C">
        <w:rPr>
          <w:rFonts w:cstheme="minorHAnsi"/>
        </w:rPr>
        <w:t xml:space="preserve"> influencing</w:t>
      </w:r>
      <w:r w:rsidR="00EC787E" w:rsidRPr="00BE37B5">
        <w:rPr>
          <w:rFonts w:cstheme="minorHAnsi"/>
        </w:rPr>
        <w:t xml:space="preserve"> policy</w:t>
      </w:r>
      <w:r>
        <w:rPr>
          <w:rFonts w:cstheme="minorHAnsi"/>
        </w:rPr>
        <w:t xml:space="preserve"> actions </w:t>
      </w:r>
      <w:r w:rsidR="00EC787E" w:rsidRPr="00BE37B5">
        <w:rPr>
          <w:rFonts w:cstheme="minorHAnsi"/>
        </w:rPr>
        <w:t>on gentrification. The wealth of contradictory evidence, largely driven by inconsistent methodologies, has permitted both supporters and opponents of gentrification a means to entrenc</w:t>
      </w:r>
      <w:r w:rsidR="005D4540">
        <w:rPr>
          <w:rFonts w:cstheme="minorHAnsi"/>
        </w:rPr>
        <w:t xml:space="preserve">h their views on the subject. This </w:t>
      </w:r>
      <w:r w:rsidR="00005D3C">
        <w:rPr>
          <w:rFonts w:cstheme="minorHAnsi"/>
        </w:rPr>
        <w:t xml:space="preserve">research </w:t>
      </w:r>
      <w:r w:rsidR="005D4540">
        <w:rPr>
          <w:rFonts w:cstheme="minorHAnsi"/>
        </w:rPr>
        <w:t xml:space="preserve">field </w:t>
      </w:r>
      <w:r w:rsidR="009A4609">
        <w:rPr>
          <w:rFonts w:cstheme="minorHAnsi"/>
        </w:rPr>
        <w:t>stands to</w:t>
      </w:r>
      <w:r w:rsidR="00EC787E" w:rsidRPr="00BE37B5">
        <w:rPr>
          <w:rFonts w:cstheme="minorHAnsi"/>
        </w:rPr>
        <w:t xml:space="preserve"> benefit from the emotionless 21</w:t>
      </w:r>
      <w:r w:rsidR="00EC787E" w:rsidRPr="00BE37B5">
        <w:rPr>
          <w:rFonts w:cstheme="minorHAnsi"/>
          <w:vertAlign w:val="superscript"/>
        </w:rPr>
        <w:t>st</w:t>
      </w:r>
      <w:r w:rsidR="00EC787E" w:rsidRPr="00BE37B5">
        <w:rPr>
          <w:rFonts w:cstheme="minorHAnsi"/>
        </w:rPr>
        <w:t xml:space="preserve"> century tools </w:t>
      </w:r>
      <w:r w:rsidR="009A4609">
        <w:rPr>
          <w:rFonts w:cstheme="minorHAnsi"/>
        </w:rPr>
        <w:t xml:space="preserve">that </w:t>
      </w:r>
      <w:r w:rsidR="00EA55A8">
        <w:rPr>
          <w:rFonts w:cstheme="minorHAnsi"/>
        </w:rPr>
        <w:t>reveal</w:t>
      </w:r>
      <w:r w:rsidR="009A4609">
        <w:rPr>
          <w:rFonts w:cstheme="minorHAnsi"/>
        </w:rPr>
        <w:t xml:space="preserve"> </w:t>
      </w:r>
      <w:r w:rsidR="00005D3C">
        <w:rPr>
          <w:rFonts w:cstheme="minorHAnsi"/>
        </w:rPr>
        <w:t>emergent</w:t>
      </w:r>
      <w:r w:rsidR="009A4609">
        <w:rPr>
          <w:rFonts w:cstheme="minorHAnsi"/>
        </w:rPr>
        <w:t xml:space="preserve"> patterns within the data itself rather than</w:t>
      </w:r>
      <w:r w:rsidR="00EC787E" w:rsidRPr="00BE37B5">
        <w:rPr>
          <w:rFonts w:cstheme="minorHAnsi"/>
        </w:rPr>
        <w:t xml:space="preserve"> </w:t>
      </w:r>
      <w:r w:rsidR="00E245EE">
        <w:rPr>
          <w:rFonts w:cstheme="minorHAnsi"/>
        </w:rPr>
        <w:t>conforming</w:t>
      </w:r>
      <w:r w:rsidR="00FD0DB9">
        <w:rPr>
          <w:rFonts w:cstheme="minorHAnsi"/>
        </w:rPr>
        <w:t xml:space="preserve"> </w:t>
      </w:r>
      <w:r w:rsidR="005D4540">
        <w:rPr>
          <w:rFonts w:cstheme="minorHAnsi"/>
        </w:rPr>
        <w:t xml:space="preserve">to </w:t>
      </w:r>
      <w:r w:rsidR="00FD0DB9">
        <w:rPr>
          <w:rFonts w:cstheme="minorHAnsi"/>
        </w:rPr>
        <w:t xml:space="preserve">a </w:t>
      </w:r>
      <w:r w:rsidR="00DB172D">
        <w:rPr>
          <w:rFonts w:cstheme="minorHAnsi"/>
        </w:rPr>
        <w:t>preordained</w:t>
      </w:r>
      <w:r w:rsidR="00375318">
        <w:rPr>
          <w:rFonts w:cstheme="minorHAnsi"/>
        </w:rPr>
        <w:t xml:space="preserve"> </w:t>
      </w:r>
      <w:r w:rsidR="0026438B">
        <w:rPr>
          <w:rFonts w:cstheme="minorHAnsi"/>
        </w:rPr>
        <w:t>framework</w:t>
      </w:r>
      <w:r w:rsidR="00375318">
        <w:rPr>
          <w:rFonts w:cstheme="minorHAnsi"/>
        </w:rPr>
        <w:t xml:space="preserve">.  </w:t>
      </w:r>
      <w:r w:rsidR="005D4540">
        <w:rPr>
          <w:rFonts w:cstheme="minorHAnsi"/>
        </w:rPr>
        <w:t xml:space="preserve">  </w:t>
      </w:r>
    </w:p>
    <w:p w14:paraId="738ED959" w14:textId="77777777" w:rsidR="003449D1" w:rsidRPr="00812A6F" w:rsidRDefault="003449D1" w:rsidP="00EF51E0">
      <w:pPr>
        <w:autoSpaceDE w:val="0"/>
        <w:autoSpaceDN w:val="0"/>
        <w:adjustRightInd w:val="0"/>
        <w:spacing w:after="0" w:line="240" w:lineRule="auto"/>
        <w:rPr>
          <w:rFonts w:ascii="Arial" w:hAnsi="Arial" w:cs="Arial"/>
          <w:color w:val="333333"/>
          <w:sz w:val="26"/>
          <w:szCs w:val="26"/>
        </w:rPr>
      </w:pPr>
    </w:p>
    <w:sectPr w:rsidR="003449D1" w:rsidRPr="00812A6F" w:rsidSect="00F30B56">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3D3FD" w14:textId="77777777" w:rsidR="00875110" w:rsidRDefault="00875110" w:rsidP="00EC787E">
      <w:pPr>
        <w:spacing w:after="0" w:line="240" w:lineRule="auto"/>
      </w:pPr>
      <w:r>
        <w:separator/>
      </w:r>
    </w:p>
  </w:endnote>
  <w:endnote w:type="continuationSeparator" w:id="0">
    <w:p w14:paraId="29E60089" w14:textId="77777777" w:rsidR="00875110" w:rsidRDefault="00875110" w:rsidP="00EC787E">
      <w:pPr>
        <w:spacing w:after="0" w:line="240" w:lineRule="auto"/>
      </w:pPr>
      <w:r>
        <w:continuationSeparator/>
      </w:r>
    </w:p>
  </w:endnote>
  <w:endnote w:type="continuationNotice" w:id="1">
    <w:p w14:paraId="1DA81633" w14:textId="77777777" w:rsidR="00875110" w:rsidRDefault="008751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D914D" w14:textId="77777777" w:rsidR="00F965EA" w:rsidRDefault="00F96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FADD0" w14:textId="77777777" w:rsidR="00875110" w:rsidRDefault="00875110" w:rsidP="00EC787E">
      <w:pPr>
        <w:spacing w:after="0" w:line="240" w:lineRule="auto"/>
      </w:pPr>
      <w:r>
        <w:separator/>
      </w:r>
    </w:p>
  </w:footnote>
  <w:footnote w:type="continuationSeparator" w:id="0">
    <w:p w14:paraId="4694C4C7" w14:textId="77777777" w:rsidR="00875110" w:rsidRDefault="00875110" w:rsidP="00EC787E">
      <w:pPr>
        <w:spacing w:after="0" w:line="240" w:lineRule="auto"/>
      </w:pPr>
      <w:r>
        <w:continuationSeparator/>
      </w:r>
    </w:p>
  </w:footnote>
  <w:footnote w:type="continuationNotice" w:id="1">
    <w:p w14:paraId="4BEC9AE4" w14:textId="77777777" w:rsidR="00875110" w:rsidRDefault="00875110">
      <w:pPr>
        <w:spacing w:after="0" w:line="240" w:lineRule="auto"/>
      </w:pPr>
    </w:p>
  </w:footnote>
  <w:footnote w:id="2">
    <w:p w14:paraId="329CA1A7" w14:textId="7C4DC965" w:rsidR="00F35540" w:rsidRDefault="00F35540">
      <w:pPr>
        <w:pStyle w:val="FootnoteText"/>
      </w:pPr>
      <w:r>
        <w:rPr>
          <w:rStyle w:val="FootnoteReference"/>
        </w:rPr>
        <w:footnoteRef/>
      </w:r>
      <w:r>
        <w:t xml:space="preserve"> Lees effectively describes the concept of a bias-variance tradeoff seen in applied statistics or machine learning. Low bias equals broad generalizations while low variance </w:t>
      </w:r>
      <w:proofErr w:type="spellStart"/>
      <w:r>
        <w:t>miscategorize</w:t>
      </w:r>
      <w:proofErr w:type="spellEnd"/>
      <w:r>
        <w:t xml:space="preserve"> the current problem. The ideal model has low bias to </w:t>
      </w:r>
      <w:proofErr w:type="gramStart"/>
      <w:r>
        <w:t>accurately  simulate</w:t>
      </w:r>
      <w:proofErr w:type="gramEnd"/>
      <w:r>
        <w:t xml:space="preserve"> the true relationship and low variability that produces consistent predictions across different datasets.</w:t>
      </w:r>
    </w:p>
  </w:footnote>
  <w:footnote w:id="3">
    <w:p w14:paraId="23DD34D1" w14:textId="77777777" w:rsidR="00D4244E" w:rsidRDefault="00D4244E" w:rsidP="00D4244E">
      <w:pPr>
        <w:pStyle w:val="FootnoteText"/>
      </w:pPr>
      <w:r>
        <w:rPr>
          <w:rStyle w:val="FootnoteReference"/>
        </w:rPr>
        <w:footnoteRef/>
      </w:r>
      <w:r>
        <w:t xml:space="preserve"> </w:t>
      </w:r>
      <w:proofErr w:type="spellStart"/>
      <w:r>
        <w:rPr>
          <w:rFonts w:ascii="Calibri" w:hAnsi="Calibri" w:cs="Calibri"/>
          <w:color w:val="000000"/>
        </w:rPr>
        <w:t>McKinnish</w:t>
      </w:r>
      <w:proofErr w:type="spellEnd"/>
      <w:r>
        <w:rPr>
          <w:rFonts w:ascii="Calibri" w:hAnsi="Calibri" w:cs="Calibri"/>
          <w:color w:val="000000"/>
        </w:rPr>
        <w:t xml:space="preserve"> et al.’s national comparison identifies gentrifying census tracts in 91% of </w:t>
      </w:r>
      <w:r w:rsidRPr="00022268">
        <w:rPr>
          <w:rFonts w:ascii="Calibri" w:hAnsi="Calibri" w:cs="Calibri"/>
          <w:color w:val="000000"/>
        </w:rPr>
        <w:t>Consolidated Metropolitan Statistical Areas</w:t>
      </w:r>
      <w:r>
        <w:rPr>
          <w:rFonts w:ascii="Calibri" w:hAnsi="Calibri" w:cs="Calibri"/>
          <w:color w:val="000000"/>
        </w:rPr>
        <w:t xml:space="preserve"> between 1990 and 2000.</w:t>
      </w:r>
    </w:p>
  </w:footnote>
  <w:footnote w:id="4">
    <w:p w14:paraId="78400858" w14:textId="77777777" w:rsidR="00D4244E" w:rsidRDefault="00D4244E" w:rsidP="00D4244E">
      <w:r>
        <w:rPr>
          <w:rStyle w:val="FootnoteReference"/>
        </w:rPr>
        <w:footnoteRef/>
      </w:r>
      <w:r>
        <w:t xml:space="preserve"> </w:t>
      </w:r>
      <w:r w:rsidRPr="00C96B55">
        <w:rPr>
          <w:rFonts w:ascii="Calibri" w:hAnsi="Calibri" w:cs="Calibri"/>
          <w:color w:val="000000"/>
          <w:sz w:val="20"/>
          <w:szCs w:val="20"/>
        </w:rPr>
        <w:t xml:space="preserve">Who copied these methods Lester and Hartley (2013) use the Freeman’s definition to herald the local employment benefits in gentrifying </w:t>
      </w:r>
      <w:proofErr w:type="gramStart"/>
      <w:r w:rsidRPr="00C96B55">
        <w:rPr>
          <w:rFonts w:ascii="Calibri" w:hAnsi="Calibri" w:cs="Calibri"/>
          <w:color w:val="000000"/>
          <w:sz w:val="20"/>
          <w:szCs w:val="20"/>
        </w:rPr>
        <w:t>neighborhoods.</w:t>
      </w:r>
      <w:proofErr w:type="gramEnd"/>
      <w:r w:rsidRPr="00C96B55">
        <w:rPr>
          <w:rFonts w:ascii="Calibri" w:hAnsi="Calibri" w:cs="Calibri"/>
          <w:color w:val="000000"/>
          <w:sz w:val="20"/>
          <w:szCs w:val="20"/>
        </w:rPr>
        <w:t xml:space="preserve"> Chapple, 2009</w:t>
      </w:r>
    </w:p>
  </w:footnote>
  <w:footnote w:id="5">
    <w:p w14:paraId="4B8D10AE" w14:textId="77777777" w:rsidR="00D4244E" w:rsidRDefault="00D4244E" w:rsidP="00D4244E">
      <w:pPr>
        <w:pStyle w:val="FootnoteText"/>
      </w:pPr>
      <w:r>
        <w:rPr>
          <w:rStyle w:val="FootnoteReference"/>
        </w:rPr>
        <w:footnoteRef/>
      </w:r>
      <w:r>
        <w:t xml:space="preserve"> Freeman repeats his analysis using an equally arbitrary (40</w:t>
      </w:r>
      <w:r w:rsidRPr="00417194">
        <w:rPr>
          <w:vertAlign w:val="superscript"/>
        </w:rPr>
        <w:t>th</w:t>
      </w:r>
      <w:r>
        <w:t xml:space="preserve"> percentile) threshold criteria before asserting that the choice did not impact his conclusions. </w:t>
      </w:r>
    </w:p>
  </w:footnote>
  <w:footnote w:id="6">
    <w:p w14:paraId="03303D20" w14:textId="09E66C6D" w:rsidR="00F35540" w:rsidRDefault="00F35540">
      <w:pPr>
        <w:pStyle w:val="FootnoteText"/>
      </w:pPr>
      <w:r>
        <w:rPr>
          <w:rStyle w:val="FootnoteReference"/>
        </w:rPr>
        <w:footnoteRef/>
      </w:r>
      <w:r>
        <w:t xml:space="preserve"> Gentrification disproportionally threatens renters when compared to homeowners. Despite correlation between these metrics, bo</w:t>
      </w:r>
      <w:r w:rsidRPr="00B825CA">
        <w:t xml:space="preserve">th rent and home values </w:t>
      </w:r>
      <w:r>
        <w:t>are</w:t>
      </w:r>
      <w:r w:rsidRPr="00B825CA">
        <w:t xml:space="preserve"> included</w:t>
      </w:r>
      <w:r>
        <w:t xml:space="preserve"> to capture this effect</w:t>
      </w:r>
      <w:r w:rsidRPr="00B825CA">
        <w:t>.</w:t>
      </w:r>
    </w:p>
  </w:footnote>
  <w:footnote w:id="7">
    <w:p w14:paraId="7F35F7AE" w14:textId="77777777" w:rsidR="00F35540" w:rsidRPr="0026530D" w:rsidRDefault="00F35540" w:rsidP="0026530D">
      <w:pPr>
        <w:autoSpaceDE w:val="0"/>
        <w:autoSpaceDN w:val="0"/>
        <w:adjustRightInd w:val="0"/>
        <w:spacing w:after="0" w:line="240" w:lineRule="auto"/>
        <w:ind w:firstLine="720"/>
        <w:rPr>
          <w:rFonts w:ascii="Calibri" w:hAnsi="Calibri" w:cs="Calibri"/>
          <w:color w:val="000000"/>
          <w:sz w:val="20"/>
          <w:szCs w:val="20"/>
        </w:rPr>
      </w:pPr>
      <w:r>
        <w:rPr>
          <w:rStyle w:val="FootnoteReference"/>
        </w:rPr>
        <w:footnoteRef/>
      </w:r>
      <w:r w:rsidRPr="0026530D">
        <w:rPr>
          <w:sz w:val="20"/>
          <w:szCs w:val="20"/>
        </w:rPr>
        <w:t xml:space="preserve"> </w:t>
      </w:r>
      <w:r w:rsidRPr="0026530D">
        <w:rPr>
          <w:rFonts w:ascii="Calibri" w:hAnsi="Calibri" w:cs="Calibri"/>
          <w:color w:val="000000"/>
          <w:sz w:val="20"/>
          <w:szCs w:val="20"/>
        </w:rPr>
        <w:t xml:space="preserve">We initialized the algorithm by selecting the optimal starting centroids out of 50 random </w:t>
      </w:r>
      <w:proofErr w:type="gramStart"/>
      <w:r w:rsidRPr="0026530D">
        <w:rPr>
          <w:rFonts w:ascii="Calibri" w:hAnsi="Calibri" w:cs="Calibri"/>
          <w:color w:val="000000"/>
          <w:sz w:val="20"/>
          <w:szCs w:val="20"/>
        </w:rPr>
        <w:t>permutations, and</w:t>
      </w:r>
      <w:proofErr w:type="gramEnd"/>
      <w:r w:rsidRPr="0026530D">
        <w:rPr>
          <w:rFonts w:ascii="Calibri" w:hAnsi="Calibri" w:cs="Calibri"/>
          <w:color w:val="000000"/>
          <w:sz w:val="20"/>
          <w:szCs w:val="20"/>
        </w:rPr>
        <w:t xml:space="preserve"> report little variability within the initialization selection. </w:t>
      </w:r>
    </w:p>
    <w:p w14:paraId="5FCFAA42" w14:textId="546BD1BF" w:rsidR="00F35540" w:rsidRDefault="00F35540">
      <w:pPr>
        <w:pStyle w:val="FootnoteText"/>
      </w:pPr>
    </w:p>
  </w:footnote>
  <w:footnote w:id="8">
    <w:p w14:paraId="629F6232" w14:textId="2A64FB7D" w:rsidR="00F35540" w:rsidRDefault="00F35540">
      <w:pPr>
        <w:pStyle w:val="FootnoteText"/>
      </w:pPr>
      <w:r>
        <w:rPr>
          <w:rStyle w:val="FootnoteReference"/>
        </w:rPr>
        <w:footnoteRef/>
      </w:r>
      <w:r>
        <w:t xml:space="preserve"> </w:t>
      </w:r>
      <w:r w:rsidRPr="00570AE4">
        <w:rPr>
          <w:rFonts w:ascii="Calibri" w:hAnsi="Calibri" w:cs="Calibri"/>
          <w:color w:val="000000"/>
        </w:rPr>
        <w:t xml:space="preserve">Queen’s case is the preferred contiguity for irregularly shaped aerial units like </w:t>
      </w:r>
      <w:r>
        <w:rPr>
          <w:rFonts w:ascii="Calibri" w:hAnsi="Calibri" w:cs="Calibri"/>
          <w:color w:val="000000"/>
        </w:rPr>
        <w:t>C</w:t>
      </w:r>
      <w:r w:rsidRPr="00570AE4">
        <w:rPr>
          <w:rFonts w:ascii="Calibri" w:hAnsi="Calibri" w:cs="Calibri"/>
          <w:color w:val="000000"/>
        </w:rPr>
        <w:t>ensus t</w:t>
      </w:r>
      <w:r>
        <w:rPr>
          <w:rFonts w:ascii="Calibri" w:hAnsi="Calibri" w:cs="Calibri"/>
          <w:color w:val="000000"/>
        </w:rPr>
        <w:t>racts (</w:t>
      </w:r>
      <w:proofErr w:type="spellStart"/>
      <w:r>
        <w:rPr>
          <w:rFonts w:ascii="Calibri" w:hAnsi="Calibri" w:cs="Calibri"/>
          <w:color w:val="000000"/>
        </w:rPr>
        <w:t>Anselin</w:t>
      </w:r>
      <w:proofErr w:type="spellEnd"/>
      <w:r>
        <w:rPr>
          <w:rFonts w:ascii="Calibri" w:hAnsi="Calibri" w:cs="Calibri"/>
          <w:color w:val="000000"/>
        </w:rPr>
        <w:t>, 2018).</w:t>
      </w:r>
    </w:p>
  </w:footnote>
  <w:footnote w:id="9">
    <w:p w14:paraId="68C87E0D" w14:textId="77777777" w:rsidR="00F35540" w:rsidRDefault="00F35540" w:rsidP="00BE1C8F">
      <w:pPr>
        <w:pStyle w:val="FootnoteText"/>
      </w:pPr>
      <w:r w:rsidRPr="00733CAC">
        <w:rPr>
          <w:rStyle w:val="FootnoteReference"/>
        </w:rPr>
        <w:footnoteRef/>
      </w:r>
      <w:r>
        <w:t xml:space="preserve"> </w:t>
      </w:r>
      <w:r w:rsidRPr="00BE37B5">
        <w:rPr>
          <w:sz w:val="22"/>
          <w:szCs w:val="22"/>
        </w:rPr>
        <w:t>Measured from 2000 – 2010.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4419" w14:textId="77777777" w:rsidR="00F965EA" w:rsidRDefault="00F96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0260C"/>
    <w:multiLevelType w:val="hybridMultilevel"/>
    <w:tmpl w:val="ED80D234"/>
    <w:lvl w:ilvl="0" w:tplc="C0224B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2D5E9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25B373A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757EA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0FE2483"/>
    <w:multiLevelType w:val="hybridMultilevel"/>
    <w:tmpl w:val="3314E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03A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1D47330"/>
    <w:multiLevelType w:val="hybridMultilevel"/>
    <w:tmpl w:val="79D087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4"/>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3976"/>
    <w:rsid w:val="00005D3C"/>
    <w:rsid w:val="0001637A"/>
    <w:rsid w:val="00022268"/>
    <w:rsid w:val="00023103"/>
    <w:rsid w:val="00024F63"/>
    <w:rsid w:val="00026C4E"/>
    <w:rsid w:val="0003193A"/>
    <w:rsid w:val="00037F1B"/>
    <w:rsid w:val="00042029"/>
    <w:rsid w:val="00044A7B"/>
    <w:rsid w:val="0005314C"/>
    <w:rsid w:val="00062BC4"/>
    <w:rsid w:val="00063D26"/>
    <w:rsid w:val="000660EE"/>
    <w:rsid w:val="000742EA"/>
    <w:rsid w:val="000756C5"/>
    <w:rsid w:val="00081277"/>
    <w:rsid w:val="00083624"/>
    <w:rsid w:val="00084124"/>
    <w:rsid w:val="00096FF0"/>
    <w:rsid w:val="000B57A7"/>
    <w:rsid w:val="000D47F0"/>
    <w:rsid w:val="000D4F53"/>
    <w:rsid w:val="000E1503"/>
    <w:rsid w:val="000E3040"/>
    <w:rsid w:val="000F50BE"/>
    <w:rsid w:val="00102A44"/>
    <w:rsid w:val="00104350"/>
    <w:rsid w:val="00106B6D"/>
    <w:rsid w:val="0010794D"/>
    <w:rsid w:val="00110144"/>
    <w:rsid w:val="00126BED"/>
    <w:rsid w:val="00127444"/>
    <w:rsid w:val="00136DD2"/>
    <w:rsid w:val="00140694"/>
    <w:rsid w:val="00141BEC"/>
    <w:rsid w:val="00142390"/>
    <w:rsid w:val="001460C4"/>
    <w:rsid w:val="001477C7"/>
    <w:rsid w:val="001530E7"/>
    <w:rsid w:val="00156005"/>
    <w:rsid w:val="001568A6"/>
    <w:rsid w:val="001622FD"/>
    <w:rsid w:val="00163727"/>
    <w:rsid w:val="001641FF"/>
    <w:rsid w:val="00164BEB"/>
    <w:rsid w:val="0017163C"/>
    <w:rsid w:val="00182A5B"/>
    <w:rsid w:val="0018470D"/>
    <w:rsid w:val="001876D5"/>
    <w:rsid w:val="00187F21"/>
    <w:rsid w:val="00193F38"/>
    <w:rsid w:val="00194F52"/>
    <w:rsid w:val="00196128"/>
    <w:rsid w:val="001A27D1"/>
    <w:rsid w:val="001A569D"/>
    <w:rsid w:val="001A64FE"/>
    <w:rsid w:val="001B4C47"/>
    <w:rsid w:val="001C25BC"/>
    <w:rsid w:val="001C57A4"/>
    <w:rsid w:val="001E11C8"/>
    <w:rsid w:val="001E12A5"/>
    <w:rsid w:val="001E5AB4"/>
    <w:rsid w:val="001E5DCC"/>
    <w:rsid w:val="001E71C8"/>
    <w:rsid w:val="001F6FAE"/>
    <w:rsid w:val="002028A2"/>
    <w:rsid w:val="0020595E"/>
    <w:rsid w:val="00212FC6"/>
    <w:rsid w:val="0021393D"/>
    <w:rsid w:val="00226900"/>
    <w:rsid w:val="00227172"/>
    <w:rsid w:val="00227791"/>
    <w:rsid w:val="0023042B"/>
    <w:rsid w:val="00235832"/>
    <w:rsid w:val="00237A4E"/>
    <w:rsid w:val="00243E10"/>
    <w:rsid w:val="002466B4"/>
    <w:rsid w:val="00247498"/>
    <w:rsid w:val="00253D7C"/>
    <w:rsid w:val="0025424E"/>
    <w:rsid w:val="0026385D"/>
    <w:rsid w:val="0026438B"/>
    <w:rsid w:val="0026530D"/>
    <w:rsid w:val="00273568"/>
    <w:rsid w:val="0028248D"/>
    <w:rsid w:val="00282D99"/>
    <w:rsid w:val="00291738"/>
    <w:rsid w:val="002A5FB1"/>
    <w:rsid w:val="002A6F40"/>
    <w:rsid w:val="002B024B"/>
    <w:rsid w:val="002C23D2"/>
    <w:rsid w:val="002C3C8F"/>
    <w:rsid w:val="002D717A"/>
    <w:rsid w:val="002E2938"/>
    <w:rsid w:val="002F7F80"/>
    <w:rsid w:val="00303CB8"/>
    <w:rsid w:val="00303D5C"/>
    <w:rsid w:val="00306812"/>
    <w:rsid w:val="0031007A"/>
    <w:rsid w:val="003148CC"/>
    <w:rsid w:val="003163AA"/>
    <w:rsid w:val="003228B2"/>
    <w:rsid w:val="00325CB8"/>
    <w:rsid w:val="003275A3"/>
    <w:rsid w:val="00330B97"/>
    <w:rsid w:val="003376B8"/>
    <w:rsid w:val="003449D1"/>
    <w:rsid w:val="0034657F"/>
    <w:rsid w:val="003467F5"/>
    <w:rsid w:val="003505B0"/>
    <w:rsid w:val="00351660"/>
    <w:rsid w:val="00351B69"/>
    <w:rsid w:val="0035295E"/>
    <w:rsid w:val="00356F07"/>
    <w:rsid w:val="00360A3E"/>
    <w:rsid w:val="00362FC6"/>
    <w:rsid w:val="00375318"/>
    <w:rsid w:val="00380361"/>
    <w:rsid w:val="00384808"/>
    <w:rsid w:val="00391ABD"/>
    <w:rsid w:val="003A13C5"/>
    <w:rsid w:val="003A167C"/>
    <w:rsid w:val="003A334F"/>
    <w:rsid w:val="003B3573"/>
    <w:rsid w:val="003B59E9"/>
    <w:rsid w:val="003D129F"/>
    <w:rsid w:val="003D6FE4"/>
    <w:rsid w:val="003E071B"/>
    <w:rsid w:val="003E4EDD"/>
    <w:rsid w:val="003E5DBD"/>
    <w:rsid w:val="003F601A"/>
    <w:rsid w:val="003F6ADF"/>
    <w:rsid w:val="00400709"/>
    <w:rsid w:val="00400B7C"/>
    <w:rsid w:val="004011D7"/>
    <w:rsid w:val="004028E2"/>
    <w:rsid w:val="0040374D"/>
    <w:rsid w:val="004042DB"/>
    <w:rsid w:val="004122E7"/>
    <w:rsid w:val="00412663"/>
    <w:rsid w:val="0041367A"/>
    <w:rsid w:val="00417194"/>
    <w:rsid w:val="00420ED6"/>
    <w:rsid w:val="00421BEF"/>
    <w:rsid w:val="00421F6C"/>
    <w:rsid w:val="00426F1C"/>
    <w:rsid w:val="00433976"/>
    <w:rsid w:val="0043532F"/>
    <w:rsid w:val="0043675E"/>
    <w:rsid w:val="00436B00"/>
    <w:rsid w:val="00440DC3"/>
    <w:rsid w:val="00444ACE"/>
    <w:rsid w:val="0045192C"/>
    <w:rsid w:val="004521D7"/>
    <w:rsid w:val="004556EE"/>
    <w:rsid w:val="004574F7"/>
    <w:rsid w:val="0046066E"/>
    <w:rsid w:val="00466ABC"/>
    <w:rsid w:val="00474F3A"/>
    <w:rsid w:val="00477412"/>
    <w:rsid w:val="00484ED8"/>
    <w:rsid w:val="00485098"/>
    <w:rsid w:val="00486AB4"/>
    <w:rsid w:val="004A39C9"/>
    <w:rsid w:val="004B2D71"/>
    <w:rsid w:val="004B42B9"/>
    <w:rsid w:val="004B5B9C"/>
    <w:rsid w:val="004C2A37"/>
    <w:rsid w:val="004C488A"/>
    <w:rsid w:val="004C5047"/>
    <w:rsid w:val="004D099D"/>
    <w:rsid w:val="004D2CB5"/>
    <w:rsid w:val="004E3C4E"/>
    <w:rsid w:val="004E74DF"/>
    <w:rsid w:val="00501D06"/>
    <w:rsid w:val="0050324E"/>
    <w:rsid w:val="00503B12"/>
    <w:rsid w:val="005054C2"/>
    <w:rsid w:val="0051739F"/>
    <w:rsid w:val="00525903"/>
    <w:rsid w:val="005302C5"/>
    <w:rsid w:val="00537FC5"/>
    <w:rsid w:val="005447CA"/>
    <w:rsid w:val="00544E09"/>
    <w:rsid w:val="00547648"/>
    <w:rsid w:val="00553F06"/>
    <w:rsid w:val="0056675C"/>
    <w:rsid w:val="0056706B"/>
    <w:rsid w:val="005676FA"/>
    <w:rsid w:val="00570AE4"/>
    <w:rsid w:val="005722FE"/>
    <w:rsid w:val="00580348"/>
    <w:rsid w:val="005814B4"/>
    <w:rsid w:val="00581DD3"/>
    <w:rsid w:val="005863DF"/>
    <w:rsid w:val="00587E3B"/>
    <w:rsid w:val="005A1709"/>
    <w:rsid w:val="005A2EBD"/>
    <w:rsid w:val="005A53A3"/>
    <w:rsid w:val="005A6258"/>
    <w:rsid w:val="005C4ADF"/>
    <w:rsid w:val="005D1465"/>
    <w:rsid w:val="005D3508"/>
    <w:rsid w:val="005D4540"/>
    <w:rsid w:val="005D59BE"/>
    <w:rsid w:val="005E134A"/>
    <w:rsid w:val="005E331E"/>
    <w:rsid w:val="005E4ABF"/>
    <w:rsid w:val="005E6020"/>
    <w:rsid w:val="005F087C"/>
    <w:rsid w:val="005F468E"/>
    <w:rsid w:val="005F58DF"/>
    <w:rsid w:val="005F5BBA"/>
    <w:rsid w:val="00600155"/>
    <w:rsid w:val="0060466E"/>
    <w:rsid w:val="00612102"/>
    <w:rsid w:val="006131B2"/>
    <w:rsid w:val="0061388F"/>
    <w:rsid w:val="0063048F"/>
    <w:rsid w:val="006307AA"/>
    <w:rsid w:val="006368BC"/>
    <w:rsid w:val="00644C58"/>
    <w:rsid w:val="00644D72"/>
    <w:rsid w:val="00645455"/>
    <w:rsid w:val="006456A9"/>
    <w:rsid w:val="00653640"/>
    <w:rsid w:val="00656B3F"/>
    <w:rsid w:val="006627B4"/>
    <w:rsid w:val="00663044"/>
    <w:rsid w:val="006718EB"/>
    <w:rsid w:val="00676C61"/>
    <w:rsid w:val="00677BB2"/>
    <w:rsid w:val="006811E6"/>
    <w:rsid w:val="006858BA"/>
    <w:rsid w:val="00693CCA"/>
    <w:rsid w:val="00697658"/>
    <w:rsid w:val="006B0DBA"/>
    <w:rsid w:val="006B17A3"/>
    <w:rsid w:val="006B776C"/>
    <w:rsid w:val="006D2AD8"/>
    <w:rsid w:val="006D418B"/>
    <w:rsid w:val="006D70BA"/>
    <w:rsid w:val="006E6FD5"/>
    <w:rsid w:val="006F1E83"/>
    <w:rsid w:val="006F60A2"/>
    <w:rsid w:val="0070171C"/>
    <w:rsid w:val="00704930"/>
    <w:rsid w:val="00707E16"/>
    <w:rsid w:val="00711D5B"/>
    <w:rsid w:val="00715B1B"/>
    <w:rsid w:val="0072217E"/>
    <w:rsid w:val="00722CC2"/>
    <w:rsid w:val="00730FBE"/>
    <w:rsid w:val="007316B8"/>
    <w:rsid w:val="00733D8F"/>
    <w:rsid w:val="0073579E"/>
    <w:rsid w:val="0074158D"/>
    <w:rsid w:val="0074403D"/>
    <w:rsid w:val="00745B20"/>
    <w:rsid w:val="00753661"/>
    <w:rsid w:val="00756E78"/>
    <w:rsid w:val="00760CE5"/>
    <w:rsid w:val="007614B3"/>
    <w:rsid w:val="007676B7"/>
    <w:rsid w:val="00770B64"/>
    <w:rsid w:val="00771DFC"/>
    <w:rsid w:val="00774217"/>
    <w:rsid w:val="00785482"/>
    <w:rsid w:val="00791F31"/>
    <w:rsid w:val="00796B25"/>
    <w:rsid w:val="007A0573"/>
    <w:rsid w:val="007A6DA9"/>
    <w:rsid w:val="007B4EC0"/>
    <w:rsid w:val="007B713A"/>
    <w:rsid w:val="007C7070"/>
    <w:rsid w:val="007E51DE"/>
    <w:rsid w:val="007F19E6"/>
    <w:rsid w:val="007F3E30"/>
    <w:rsid w:val="007F75E0"/>
    <w:rsid w:val="00806552"/>
    <w:rsid w:val="00807C35"/>
    <w:rsid w:val="00812A6F"/>
    <w:rsid w:val="008150F2"/>
    <w:rsid w:val="00823B16"/>
    <w:rsid w:val="00826E89"/>
    <w:rsid w:val="00830639"/>
    <w:rsid w:val="0083092D"/>
    <w:rsid w:val="00830B63"/>
    <w:rsid w:val="00831EED"/>
    <w:rsid w:val="00837BD5"/>
    <w:rsid w:val="008469BE"/>
    <w:rsid w:val="00853D92"/>
    <w:rsid w:val="00853E79"/>
    <w:rsid w:val="00854712"/>
    <w:rsid w:val="00867ABE"/>
    <w:rsid w:val="008733AC"/>
    <w:rsid w:val="00873EBF"/>
    <w:rsid w:val="00875110"/>
    <w:rsid w:val="00890F49"/>
    <w:rsid w:val="00895063"/>
    <w:rsid w:val="00896DDB"/>
    <w:rsid w:val="00897521"/>
    <w:rsid w:val="008A0302"/>
    <w:rsid w:val="008A22ED"/>
    <w:rsid w:val="008A68B7"/>
    <w:rsid w:val="008A692E"/>
    <w:rsid w:val="008A75B9"/>
    <w:rsid w:val="008B3E5E"/>
    <w:rsid w:val="008B4672"/>
    <w:rsid w:val="008B6021"/>
    <w:rsid w:val="008B7AB4"/>
    <w:rsid w:val="008C298E"/>
    <w:rsid w:val="008C2D1D"/>
    <w:rsid w:val="008D2AD2"/>
    <w:rsid w:val="008E0E2E"/>
    <w:rsid w:val="008E1C24"/>
    <w:rsid w:val="008E36A5"/>
    <w:rsid w:val="008E4DE7"/>
    <w:rsid w:val="008E5DDD"/>
    <w:rsid w:val="008E7477"/>
    <w:rsid w:val="008F235B"/>
    <w:rsid w:val="008F2FD3"/>
    <w:rsid w:val="008F61B0"/>
    <w:rsid w:val="008F68A6"/>
    <w:rsid w:val="00910BB3"/>
    <w:rsid w:val="00912DA0"/>
    <w:rsid w:val="00914450"/>
    <w:rsid w:val="009215A3"/>
    <w:rsid w:val="0092370C"/>
    <w:rsid w:val="00926453"/>
    <w:rsid w:val="009268F1"/>
    <w:rsid w:val="0093185C"/>
    <w:rsid w:val="0093483C"/>
    <w:rsid w:val="00936EAD"/>
    <w:rsid w:val="0094107C"/>
    <w:rsid w:val="00944E2B"/>
    <w:rsid w:val="00945CFD"/>
    <w:rsid w:val="00946865"/>
    <w:rsid w:val="00946CD9"/>
    <w:rsid w:val="009521E2"/>
    <w:rsid w:val="009568B4"/>
    <w:rsid w:val="00957ADE"/>
    <w:rsid w:val="00961010"/>
    <w:rsid w:val="00961566"/>
    <w:rsid w:val="00970FC8"/>
    <w:rsid w:val="00981265"/>
    <w:rsid w:val="009913F9"/>
    <w:rsid w:val="00994DA2"/>
    <w:rsid w:val="00996540"/>
    <w:rsid w:val="00997FAA"/>
    <w:rsid w:val="009A4609"/>
    <w:rsid w:val="009A6656"/>
    <w:rsid w:val="009B3EBE"/>
    <w:rsid w:val="009B6EE1"/>
    <w:rsid w:val="009C04BA"/>
    <w:rsid w:val="009C436F"/>
    <w:rsid w:val="009C6755"/>
    <w:rsid w:val="009C6AB2"/>
    <w:rsid w:val="009D0FD2"/>
    <w:rsid w:val="009D3EC8"/>
    <w:rsid w:val="009D4CE6"/>
    <w:rsid w:val="009D730D"/>
    <w:rsid w:val="009D7750"/>
    <w:rsid w:val="009E160C"/>
    <w:rsid w:val="009E185D"/>
    <w:rsid w:val="009E1E07"/>
    <w:rsid w:val="009E40AA"/>
    <w:rsid w:val="009F42EA"/>
    <w:rsid w:val="009F6605"/>
    <w:rsid w:val="00A028E4"/>
    <w:rsid w:val="00A02FDE"/>
    <w:rsid w:val="00A10B69"/>
    <w:rsid w:val="00A138F1"/>
    <w:rsid w:val="00A145E7"/>
    <w:rsid w:val="00A17943"/>
    <w:rsid w:val="00A2087A"/>
    <w:rsid w:val="00A21DBB"/>
    <w:rsid w:val="00A2732F"/>
    <w:rsid w:val="00A35896"/>
    <w:rsid w:val="00A363D7"/>
    <w:rsid w:val="00A36714"/>
    <w:rsid w:val="00A37502"/>
    <w:rsid w:val="00A4063D"/>
    <w:rsid w:val="00A45A77"/>
    <w:rsid w:val="00A46DF7"/>
    <w:rsid w:val="00A47837"/>
    <w:rsid w:val="00A504AC"/>
    <w:rsid w:val="00A543D1"/>
    <w:rsid w:val="00A54D3C"/>
    <w:rsid w:val="00A55550"/>
    <w:rsid w:val="00A57BCD"/>
    <w:rsid w:val="00A60ACA"/>
    <w:rsid w:val="00A622C1"/>
    <w:rsid w:val="00A71768"/>
    <w:rsid w:val="00A74E45"/>
    <w:rsid w:val="00A77E64"/>
    <w:rsid w:val="00A807FB"/>
    <w:rsid w:val="00A84BC5"/>
    <w:rsid w:val="00A85E99"/>
    <w:rsid w:val="00A95B15"/>
    <w:rsid w:val="00AA4E29"/>
    <w:rsid w:val="00AA7D6D"/>
    <w:rsid w:val="00AB26E0"/>
    <w:rsid w:val="00AB6E3F"/>
    <w:rsid w:val="00AC013B"/>
    <w:rsid w:val="00AC0636"/>
    <w:rsid w:val="00AD122D"/>
    <w:rsid w:val="00AD3FC0"/>
    <w:rsid w:val="00AE0841"/>
    <w:rsid w:val="00AE54B2"/>
    <w:rsid w:val="00AE6A63"/>
    <w:rsid w:val="00AF1349"/>
    <w:rsid w:val="00AF53ED"/>
    <w:rsid w:val="00AF56E9"/>
    <w:rsid w:val="00AF672B"/>
    <w:rsid w:val="00B12252"/>
    <w:rsid w:val="00B215D6"/>
    <w:rsid w:val="00B21A97"/>
    <w:rsid w:val="00B21B78"/>
    <w:rsid w:val="00B3783C"/>
    <w:rsid w:val="00B41AD5"/>
    <w:rsid w:val="00B43148"/>
    <w:rsid w:val="00B44254"/>
    <w:rsid w:val="00B44616"/>
    <w:rsid w:val="00B47AF6"/>
    <w:rsid w:val="00B50687"/>
    <w:rsid w:val="00B5307D"/>
    <w:rsid w:val="00B619EE"/>
    <w:rsid w:val="00B632A0"/>
    <w:rsid w:val="00B65F34"/>
    <w:rsid w:val="00B825CA"/>
    <w:rsid w:val="00B90E53"/>
    <w:rsid w:val="00B93AE9"/>
    <w:rsid w:val="00B97B25"/>
    <w:rsid w:val="00BB744A"/>
    <w:rsid w:val="00BB7984"/>
    <w:rsid w:val="00BD2316"/>
    <w:rsid w:val="00BD50E1"/>
    <w:rsid w:val="00BE1C8F"/>
    <w:rsid w:val="00BE49A5"/>
    <w:rsid w:val="00BE5407"/>
    <w:rsid w:val="00BE612D"/>
    <w:rsid w:val="00BE6B3C"/>
    <w:rsid w:val="00BF1689"/>
    <w:rsid w:val="00BF55C4"/>
    <w:rsid w:val="00BF5C6C"/>
    <w:rsid w:val="00BF72E4"/>
    <w:rsid w:val="00C134E2"/>
    <w:rsid w:val="00C225C6"/>
    <w:rsid w:val="00C23CB2"/>
    <w:rsid w:val="00C2689C"/>
    <w:rsid w:val="00C31C1A"/>
    <w:rsid w:val="00C42A23"/>
    <w:rsid w:val="00C455FF"/>
    <w:rsid w:val="00C562F8"/>
    <w:rsid w:val="00C75B63"/>
    <w:rsid w:val="00C77591"/>
    <w:rsid w:val="00C808FD"/>
    <w:rsid w:val="00C86059"/>
    <w:rsid w:val="00C91C4F"/>
    <w:rsid w:val="00C95641"/>
    <w:rsid w:val="00C96B55"/>
    <w:rsid w:val="00C97FBE"/>
    <w:rsid w:val="00CA1D7F"/>
    <w:rsid w:val="00CA343A"/>
    <w:rsid w:val="00CA3AE0"/>
    <w:rsid w:val="00CA591D"/>
    <w:rsid w:val="00CB6B1E"/>
    <w:rsid w:val="00CC033E"/>
    <w:rsid w:val="00CD0D3C"/>
    <w:rsid w:val="00CE4F0C"/>
    <w:rsid w:val="00CE663D"/>
    <w:rsid w:val="00CF4718"/>
    <w:rsid w:val="00CF482E"/>
    <w:rsid w:val="00CF48F4"/>
    <w:rsid w:val="00D13B42"/>
    <w:rsid w:val="00D1416A"/>
    <w:rsid w:val="00D147F0"/>
    <w:rsid w:val="00D16287"/>
    <w:rsid w:val="00D21F41"/>
    <w:rsid w:val="00D22D8C"/>
    <w:rsid w:val="00D23B9E"/>
    <w:rsid w:val="00D2636E"/>
    <w:rsid w:val="00D26880"/>
    <w:rsid w:val="00D27C33"/>
    <w:rsid w:val="00D30718"/>
    <w:rsid w:val="00D33A5F"/>
    <w:rsid w:val="00D341D8"/>
    <w:rsid w:val="00D34AF9"/>
    <w:rsid w:val="00D34C0B"/>
    <w:rsid w:val="00D36E26"/>
    <w:rsid w:val="00D420AD"/>
    <w:rsid w:val="00D4244E"/>
    <w:rsid w:val="00D432DE"/>
    <w:rsid w:val="00D439E0"/>
    <w:rsid w:val="00D46DC6"/>
    <w:rsid w:val="00D47A5D"/>
    <w:rsid w:val="00D51038"/>
    <w:rsid w:val="00D514D2"/>
    <w:rsid w:val="00D663D9"/>
    <w:rsid w:val="00D66A28"/>
    <w:rsid w:val="00D72E30"/>
    <w:rsid w:val="00D808EB"/>
    <w:rsid w:val="00D80910"/>
    <w:rsid w:val="00D85F34"/>
    <w:rsid w:val="00D8669D"/>
    <w:rsid w:val="00D86C69"/>
    <w:rsid w:val="00D91B20"/>
    <w:rsid w:val="00DA0070"/>
    <w:rsid w:val="00DA1094"/>
    <w:rsid w:val="00DA3855"/>
    <w:rsid w:val="00DA5323"/>
    <w:rsid w:val="00DA7DFE"/>
    <w:rsid w:val="00DB172D"/>
    <w:rsid w:val="00DB4FEB"/>
    <w:rsid w:val="00DB7518"/>
    <w:rsid w:val="00DB7FDB"/>
    <w:rsid w:val="00DC12E0"/>
    <w:rsid w:val="00DC6559"/>
    <w:rsid w:val="00DC6AFE"/>
    <w:rsid w:val="00DC6F5C"/>
    <w:rsid w:val="00DE04C1"/>
    <w:rsid w:val="00DE09FD"/>
    <w:rsid w:val="00DE3119"/>
    <w:rsid w:val="00DE408C"/>
    <w:rsid w:val="00DE44C1"/>
    <w:rsid w:val="00DE4B12"/>
    <w:rsid w:val="00DF05F6"/>
    <w:rsid w:val="00DF42AA"/>
    <w:rsid w:val="00DF5003"/>
    <w:rsid w:val="00DF568D"/>
    <w:rsid w:val="00E01A8E"/>
    <w:rsid w:val="00E05599"/>
    <w:rsid w:val="00E12FEF"/>
    <w:rsid w:val="00E1352C"/>
    <w:rsid w:val="00E13BA0"/>
    <w:rsid w:val="00E14872"/>
    <w:rsid w:val="00E21BCB"/>
    <w:rsid w:val="00E245EE"/>
    <w:rsid w:val="00E31660"/>
    <w:rsid w:val="00E32148"/>
    <w:rsid w:val="00E32A5E"/>
    <w:rsid w:val="00E331EF"/>
    <w:rsid w:val="00E336C0"/>
    <w:rsid w:val="00E414A4"/>
    <w:rsid w:val="00E46E0A"/>
    <w:rsid w:val="00E504BC"/>
    <w:rsid w:val="00E53C2A"/>
    <w:rsid w:val="00E55573"/>
    <w:rsid w:val="00E5666A"/>
    <w:rsid w:val="00E56ED8"/>
    <w:rsid w:val="00E574F8"/>
    <w:rsid w:val="00E57862"/>
    <w:rsid w:val="00E61B2D"/>
    <w:rsid w:val="00E62B7C"/>
    <w:rsid w:val="00E6467B"/>
    <w:rsid w:val="00E65494"/>
    <w:rsid w:val="00E71AE5"/>
    <w:rsid w:val="00E74D0A"/>
    <w:rsid w:val="00E75419"/>
    <w:rsid w:val="00E76373"/>
    <w:rsid w:val="00E825DC"/>
    <w:rsid w:val="00E82E49"/>
    <w:rsid w:val="00E82EFB"/>
    <w:rsid w:val="00E8524F"/>
    <w:rsid w:val="00E91184"/>
    <w:rsid w:val="00E9453E"/>
    <w:rsid w:val="00EA0A43"/>
    <w:rsid w:val="00EA196A"/>
    <w:rsid w:val="00EA1C69"/>
    <w:rsid w:val="00EA1ED7"/>
    <w:rsid w:val="00EA2DA3"/>
    <w:rsid w:val="00EA55A8"/>
    <w:rsid w:val="00EB35D8"/>
    <w:rsid w:val="00EB6849"/>
    <w:rsid w:val="00EC5632"/>
    <w:rsid w:val="00EC61E0"/>
    <w:rsid w:val="00EC787E"/>
    <w:rsid w:val="00ED0CB3"/>
    <w:rsid w:val="00ED3ACC"/>
    <w:rsid w:val="00EE08B3"/>
    <w:rsid w:val="00EE2069"/>
    <w:rsid w:val="00EE2166"/>
    <w:rsid w:val="00EF266B"/>
    <w:rsid w:val="00EF51E0"/>
    <w:rsid w:val="00F03D7D"/>
    <w:rsid w:val="00F06744"/>
    <w:rsid w:val="00F109B1"/>
    <w:rsid w:val="00F12A1F"/>
    <w:rsid w:val="00F1513D"/>
    <w:rsid w:val="00F30B56"/>
    <w:rsid w:val="00F3163D"/>
    <w:rsid w:val="00F31B01"/>
    <w:rsid w:val="00F35540"/>
    <w:rsid w:val="00F37E30"/>
    <w:rsid w:val="00F4661A"/>
    <w:rsid w:val="00F50336"/>
    <w:rsid w:val="00F50D46"/>
    <w:rsid w:val="00F538B3"/>
    <w:rsid w:val="00F55FAC"/>
    <w:rsid w:val="00F56E99"/>
    <w:rsid w:val="00F5789A"/>
    <w:rsid w:val="00F606CB"/>
    <w:rsid w:val="00F67345"/>
    <w:rsid w:val="00F7299A"/>
    <w:rsid w:val="00F80D61"/>
    <w:rsid w:val="00F81246"/>
    <w:rsid w:val="00F86CC5"/>
    <w:rsid w:val="00F93743"/>
    <w:rsid w:val="00F965EA"/>
    <w:rsid w:val="00F97DB6"/>
    <w:rsid w:val="00FA1F0B"/>
    <w:rsid w:val="00FA6823"/>
    <w:rsid w:val="00FB1481"/>
    <w:rsid w:val="00FB3A96"/>
    <w:rsid w:val="00FB3B1F"/>
    <w:rsid w:val="00FB5F6B"/>
    <w:rsid w:val="00FC078F"/>
    <w:rsid w:val="00FC2305"/>
    <w:rsid w:val="00FC5C4C"/>
    <w:rsid w:val="00FD0DB9"/>
    <w:rsid w:val="00FD23E6"/>
    <w:rsid w:val="00FD5CAE"/>
    <w:rsid w:val="00FE1EDF"/>
    <w:rsid w:val="00FF00D9"/>
    <w:rsid w:val="00FF200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46308"/>
  <w15:chartTrackingRefBased/>
  <w15:docId w15:val="{CB7A4AB7-D42C-417C-8A6C-5A23BBF9B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3E79"/>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3E79"/>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C787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C787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21B7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21B7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21B7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21B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1B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33976"/>
    <w:pPr>
      <w:autoSpaceDE w:val="0"/>
      <w:autoSpaceDN w:val="0"/>
      <w:adjustRightInd w:val="0"/>
      <w:spacing w:after="0" w:line="240" w:lineRule="auto"/>
    </w:pPr>
    <w:rPr>
      <w:rFonts w:ascii="Georgia" w:hAnsi="Georgia" w:cs="Georgia"/>
      <w:color w:val="000000"/>
      <w:sz w:val="24"/>
      <w:szCs w:val="24"/>
    </w:rPr>
  </w:style>
  <w:style w:type="character" w:customStyle="1" w:styleId="Heading2Char">
    <w:name w:val="Heading 2 Char"/>
    <w:basedOn w:val="DefaultParagraphFont"/>
    <w:link w:val="Heading2"/>
    <w:uiPriority w:val="9"/>
    <w:rsid w:val="00853E79"/>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53E79"/>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EC787E"/>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EC787E"/>
    <w:pPr>
      <w:spacing w:after="200" w:line="240" w:lineRule="auto"/>
    </w:pPr>
    <w:rPr>
      <w:i/>
      <w:iCs/>
      <w:sz w:val="18"/>
      <w:szCs w:val="18"/>
    </w:rPr>
  </w:style>
  <w:style w:type="character" w:customStyle="1" w:styleId="Heading4Char">
    <w:name w:val="Heading 4 Char"/>
    <w:basedOn w:val="DefaultParagraphFont"/>
    <w:link w:val="Heading4"/>
    <w:uiPriority w:val="9"/>
    <w:rsid w:val="00EC787E"/>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EC78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787E"/>
    <w:rPr>
      <w:sz w:val="20"/>
      <w:szCs w:val="20"/>
    </w:rPr>
  </w:style>
  <w:style w:type="character" w:styleId="FootnoteReference">
    <w:name w:val="footnote reference"/>
    <w:basedOn w:val="DefaultParagraphFont"/>
    <w:uiPriority w:val="99"/>
    <w:semiHidden/>
    <w:unhideWhenUsed/>
    <w:rsid w:val="00EC787E"/>
    <w:rPr>
      <w:vertAlign w:val="superscript"/>
    </w:rPr>
  </w:style>
  <w:style w:type="character" w:customStyle="1" w:styleId="Heading5Char">
    <w:name w:val="Heading 5 Char"/>
    <w:basedOn w:val="DefaultParagraphFont"/>
    <w:link w:val="Heading5"/>
    <w:uiPriority w:val="9"/>
    <w:semiHidden/>
    <w:rsid w:val="00B21B7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21B7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21B7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21B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21B78"/>
    <w:rPr>
      <w:rFonts w:asciiTheme="majorHAnsi" w:eastAsiaTheme="majorEastAsia" w:hAnsiTheme="majorHAnsi" w:cstheme="majorBidi"/>
      <w:i/>
      <w:iCs/>
      <w:color w:val="272727" w:themeColor="text1" w:themeTint="D8"/>
      <w:sz w:val="21"/>
      <w:szCs w:val="21"/>
    </w:rPr>
  </w:style>
  <w:style w:type="paragraph" w:styleId="DocumentMap">
    <w:name w:val="Document Map"/>
    <w:basedOn w:val="Normal"/>
    <w:link w:val="DocumentMapChar"/>
    <w:uiPriority w:val="99"/>
    <w:semiHidden/>
    <w:unhideWhenUsed/>
    <w:rsid w:val="00AC063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AC0636"/>
    <w:rPr>
      <w:rFonts w:ascii="Times New Roman" w:hAnsi="Times New Roman" w:cs="Times New Roman"/>
      <w:sz w:val="24"/>
      <w:szCs w:val="24"/>
    </w:rPr>
  </w:style>
  <w:style w:type="paragraph" w:styleId="Revision">
    <w:name w:val="Revision"/>
    <w:hidden/>
    <w:uiPriority w:val="99"/>
    <w:semiHidden/>
    <w:rsid w:val="00AC0636"/>
    <w:pPr>
      <w:spacing w:after="0" w:line="240" w:lineRule="auto"/>
    </w:pPr>
  </w:style>
  <w:style w:type="paragraph" w:styleId="BalloonText">
    <w:name w:val="Balloon Text"/>
    <w:basedOn w:val="Normal"/>
    <w:link w:val="BalloonTextChar"/>
    <w:uiPriority w:val="99"/>
    <w:semiHidden/>
    <w:unhideWhenUsed/>
    <w:rsid w:val="00AC0636"/>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C0636"/>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AC0636"/>
    <w:rPr>
      <w:sz w:val="18"/>
      <w:szCs w:val="18"/>
    </w:rPr>
  </w:style>
  <w:style w:type="paragraph" w:styleId="CommentText">
    <w:name w:val="annotation text"/>
    <w:basedOn w:val="Normal"/>
    <w:link w:val="CommentTextChar"/>
    <w:uiPriority w:val="99"/>
    <w:semiHidden/>
    <w:unhideWhenUsed/>
    <w:rsid w:val="00AC0636"/>
    <w:pPr>
      <w:spacing w:line="240" w:lineRule="auto"/>
    </w:pPr>
    <w:rPr>
      <w:sz w:val="24"/>
      <w:szCs w:val="24"/>
    </w:rPr>
  </w:style>
  <w:style w:type="character" w:customStyle="1" w:styleId="CommentTextChar">
    <w:name w:val="Comment Text Char"/>
    <w:basedOn w:val="DefaultParagraphFont"/>
    <w:link w:val="CommentText"/>
    <w:uiPriority w:val="99"/>
    <w:semiHidden/>
    <w:rsid w:val="00AC0636"/>
    <w:rPr>
      <w:sz w:val="24"/>
      <w:szCs w:val="24"/>
    </w:rPr>
  </w:style>
  <w:style w:type="paragraph" w:styleId="CommentSubject">
    <w:name w:val="annotation subject"/>
    <w:basedOn w:val="CommentText"/>
    <w:next w:val="CommentText"/>
    <w:link w:val="CommentSubjectChar"/>
    <w:uiPriority w:val="99"/>
    <w:semiHidden/>
    <w:unhideWhenUsed/>
    <w:rsid w:val="00AC0636"/>
    <w:rPr>
      <w:b/>
      <w:bCs/>
      <w:sz w:val="20"/>
      <w:szCs w:val="20"/>
    </w:rPr>
  </w:style>
  <w:style w:type="character" w:customStyle="1" w:styleId="CommentSubjectChar">
    <w:name w:val="Comment Subject Char"/>
    <w:basedOn w:val="CommentTextChar"/>
    <w:link w:val="CommentSubject"/>
    <w:uiPriority w:val="99"/>
    <w:semiHidden/>
    <w:rsid w:val="00AC0636"/>
    <w:rPr>
      <w:b/>
      <w:bCs/>
      <w:sz w:val="20"/>
      <w:szCs w:val="20"/>
    </w:rPr>
  </w:style>
  <w:style w:type="character" w:styleId="Hyperlink">
    <w:name w:val="Hyperlink"/>
    <w:basedOn w:val="DefaultParagraphFont"/>
    <w:uiPriority w:val="99"/>
    <w:unhideWhenUsed/>
    <w:rsid w:val="001641FF"/>
    <w:rPr>
      <w:color w:val="0000FF"/>
      <w:u w:val="single"/>
    </w:rPr>
  </w:style>
  <w:style w:type="paragraph" w:styleId="NormalWeb">
    <w:name w:val="Normal (Web)"/>
    <w:basedOn w:val="Normal"/>
    <w:uiPriority w:val="99"/>
    <w:semiHidden/>
    <w:unhideWhenUsed/>
    <w:rsid w:val="00A807F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lmarticle-title">
    <w:name w:val="nlm_article-title"/>
    <w:basedOn w:val="DefaultParagraphFont"/>
    <w:rsid w:val="00EF51E0"/>
  </w:style>
  <w:style w:type="character" w:customStyle="1" w:styleId="contribdegrees">
    <w:name w:val="contribdegrees"/>
    <w:basedOn w:val="DefaultParagraphFont"/>
    <w:rsid w:val="00EF51E0"/>
  </w:style>
  <w:style w:type="character" w:customStyle="1" w:styleId="ref-lnk">
    <w:name w:val="ref-lnk"/>
    <w:basedOn w:val="DefaultParagraphFont"/>
    <w:rsid w:val="00D80910"/>
  </w:style>
  <w:style w:type="character" w:styleId="UnresolvedMention">
    <w:name w:val="Unresolved Mention"/>
    <w:basedOn w:val="DefaultParagraphFont"/>
    <w:uiPriority w:val="99"/>
    <w:semiHidden/>
    <w:unhideWhenUsed/>
    <w:rsid w:val="00812A6F"/>
    <w:rPr>
      <w:color w:val="605E5C"/>
      <w:shd w:val="clear" w:color="auto" w:fill="E1DFDD"/>
    </w:rPr>
  </w:style>
  <w:style w:type="character" w:styleId="FollowedHyperlink">
    <w:name w:val="FollowedHyperlink"/>
    <w:basedOn w:val="DefaultParagraphFont"/>
    <w:uiPriority w:val="99"/>
    <w:semiHidden/>
    <w:unhideWhenUsed/>
    <w:rsid w:val="00AB6E3F"/>
    <w:rPr>
      <w:color w:val="954F72" w:themeColor="followedHyperlink"/>
      <w:u w:val="single"/>
    </w:rPr>
  </w:style>
  <w:style w:type="paragraph" w:styleId="Header">
    <w:name w:val="header"/>
    <w:basedOn w:val="Normal"/>
    <w:link w:val="HeaderChar"/>
    <w:uiPriority w:val="99"/>
    <w:unhideWhenUsed/>
    <w:rsid w:val="00F965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65EA"/>
  </w:style>
  <w:style w:type="paragraph" w:styleId="Footer">
    <w:name w:val="footer"/>
    <w:basedOn w:val="Normal"/>
    <w:link w:val="FooterChar"/>
    <w:uiPriority w:val="99"/>
    <w:unhideWhenUsed/>
    <w:rsid w:val="00F965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6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650">
      <w:marLeft w:val="0"/>
      <w:marRight w:val="0"/>
      <w:marTop w:val="0"/>
      <w:marBottom w:val="0"/>
      <w:divBdr>
        <w:top w:val="none" w:sz="0" w:space="0" w:color="auto"/>
        <w:left w:val="none" w:sz="0" w:space="0" w:color="auto"/>
        <w:bottom w:val="none" w:sz="0" w:space="0" w:color="auto"/>
        <w:right w:val="none" w:sz="0" w:space="0" w:color="auto"/>
      </w:divBdr>
      <w:divsChild>
        <w:div w:id="1394546259">
          <w:marLeft w:val="0"/>
          <w:marRight w:val="0"/>
          <w:marTop w:val="0"/>
          <w:marBottom w:val="0"/>
          <w:divBdr>
            <w:top w:val="none" w:sz="0" w:space="0" w:color="auto"/>
            <w:left w:val="none" w:sz="0" w:space="0" w:color="auto"/>
            <w:bottom w:val="none" w:sz="0" w:space="0" w:color="auto"/>
            <w:right w:val="none" w:sz="0" w:space="0" w:color="auto"/>
          </w:divBdr>
        </w:div>
      </w:divsChild>
    </w:div>
    <w:div w:id="3824172">
      <w:marLeft w:val="0"/>
      <w:marRight w:val="0"/>
      <w:marTop w:val="0"/>
      <w:marBottom w:val="0"/>
      <w:divBdr>
        <w:top w:val="none" w:sz="0" w:space="0" w:color="auto"/>
        <w:left w:val="none" w:sz="0" w:space="0" w:color="auto"/>
        <w:bottom w:val="none" w:sz="0" w:space="0" w:color="auto"/>
        <w:right w:val="none" w:sz="0" w:space="0" w:color="auto"/>
      </w:divBdr>
    </w:div>
    <w:div w:id="7560004">
      <w:marLeft w:val="0"/>
      <w:marRight w:val="0"/>
      <w:marTop w:val="0"/>
      <w:marBottom w:val="0"/>
      <w:divBdr>
        <w:top w:val="none" w:sz="0" w:space="0" w:color="auto"/>
        <w:left w:val="none" w:sz="0" w:space="0" w:color="auto"/>
        <w:bottom w:val="none" w:sz="0" w:space="0" w:color="auto"/>
        <w:right w:val="none" w:sz="0" w:space="0" w:color="auto"/>
      </w:divBdr>
      <w:divsChild>
        <w:div w:id="528765017">
          <w:marLeft w:val="0"/>
          <w:marRight w:val="0"/>
          <w:marTop w:val="0"/>
          <w:marBottom w:val="0"/>
          <w:divBdr>
            <w:top w:val="none" w:sz="0" w:space="0" w:color="auto"/>
            <w:left w:val="none" w:sz="0" w:space="0" w:color="auto"/>
            <w:bottom w:val="none" w:sz="0" w:space="0" w:color="auto"/>
            <w:right w:val="none" w:sz="0" w:space="0" w:color="auto"/>
          </w:divBdr>
        </w:div>
      </w:divsChild>
    </w:div>
    <w:div w:id="8222245">
      <w:marLeft w:val="0"/>
      <w:marRight w:val="0"/>
      <w:marTop w:val="0"/>
      <w:marBottom w:val="0"/>
      <w:divBdr>
        <w:top w:val="none" w:sz="0" w:space="0" w:color="auto"/>
        <w:left w:val="none" w:sz="0" w:space="0" w:color="auto"/>
        <w:bottom w:val="none" w:sz="0" w:space="0" w:color="auto"/>
        <w:right w:val="none" w:sz="0" w:space="0" w:color="auto"/>
      </w:divBdr>
    </w:div>
    <w:div w:id="17826951">
      <w:marLeft w:val="0"/>
      <w:marRight w:val="0"/>
      <w:marTop w:val="0"/>
      <w:marBottom w:val="0"/>
      <w:divBdr>
        <w:top w:val="none" w:sz="0" w:space="0" w:color="auto"/>
        <w:left w:val="none" w:sz="0" w:space="0" w:color="auto"/>
        <w:bottom w:val="none" w:sz="0" w:space="0" w:color="auto"/>
        <w:right w:val="none" w:sz="0" w:space="0" w:color="auto"/>
      </w:divBdr>
    </w:div>
    <w:div w:id="19792025">
      <w:marLeft w:val="0"/>
      <w:marRight w:val="0"/>
      <w:marTop w:val="0"/>
      <w:marBottom w:val="0"/>
      <w:divBdr>
        <w:top w:val="none" w:sz="0" w:space="0" w:color="auto"/>
        <w:left w:val="none" w:sz="0" w:space="0" w:color="auto"/>
        <w:bottom w:val="none" w:sz="0" w:space="0" w:color="auto"/>
        <w:right w:val="none" w:sz="0" w:space="0" w:color="auto"/>
      </w:divBdr>
    </w:div>
    <w:div w:id="25915939">
      <w:marLeft w:val="0"/>
      <w:marRight w:val="0"/>
      <w:marTop w:val="0"/>
      <w:marBottom w:val="0"/>
      <w:divBdr>
        <w:top w:val="none" w:sz="0" w:space="0" w:color="auto"/>
        <w:left w:val="none" w:sz="0" w:space="0" w:color="auto"/>
        <w:bottom w:val="none" w:sz="0" w:space="0" w:color="auto"/>
        <w:right w:val="none" w:sz="0" w:space="0" w:color="auto"/>
      </w:divBdr>
      <w:divsChild>
        <w:div w:id="337082660">
          <w:marLeft w:val="0"/>
          <w:marRight w:val="0"/>
          <w:marTop w:val="0"/>
          <w:marBottom w:val="0"/>
          <w:divBdr>
            <w:top w:val="none" w:sz="0" w:space="0" w:color="auto"/>
            <w:left w:val="none" w:sz="0" w:space="0" w:color="auto"/>
            <w:bottom w:val="none" w:sz="0" w:space="0" w:color="auto"/>
            <w:right w:val="none" w:sz="0" w:space="0" w:color="auto"/>
          </w:divBdr>
        </w:div>
      </w:divsChild>
    </w:div>
    <w:div w:id="27269047">
      <w:marLeft w:val="0"/>
      <w:marRight w:val="0"/>
      <w:marTop w:val="0"/>
      <w:marBottom w:val="0"/>
      <w:divBdr>
        <w:top w:val="none" w:sz="0" w:space="0" w:color="auto"/>
        <w:left w:val="none" w:sz="0" w:space="0" w:color="auto"/>
        <w:bottom w:val="none" w:sz="0" w:space="0" w:color="auto"/>
        <w:right w:val="none" w:sz="0" w:space="0" w:color="auto"/>
      </w:divBdr>
    </w:div>
    <w:div w:id="28141572">
      <w:marLeft w:val="0"/>
      <w:marRight w:val="0"/>
      <w:marTop w:val="0"/>
      <w:marBottom w:val="0"/>
      <w:divBdr>
        <w:top w:val="none" w:sz="0" w:space="0" w:color="auto"/>
        <w:left w:val="none" w:sz="0" w:space="0" w:color="auto"/>
        <w:bottom w:val="none" w:sz="0" w:space="0" w:color="auto"/>
        <w:right w:val="none" w:sz="0" w:space="0" w:color="auto"/>
      </w:divBdr>
      <w:divsChild>
        <w:div w:id="1173884852">
          <w:marLeft w:val="0"/>
          <w:marRight w:val="0"/>
          <w:marTop w:val="0"/>
          <w:marBottom w:val="0"/>
          <w:divBdr>
            <w:top w:val="none" w:sz="0" w:space="0" w:color="auto"/>
            <w:left w:val="none" w:sz="0" w:space="0" w:color="auto"/>
            <w:bottom w:val="none" w:sz="0" w:space="0" w:color="auto"/>
            <w:right w:val="none" w:sz="0" w:space="0" w:color="auto"/>
          </w:divBdr>
        </w:div>
      </w:divsChild>
    </w:div>
    <w:div w:id="28646129">
      <w:marLeft w:val="0"/>
      <w:marRight w:val="0"/>
      <w:marTop w:val="0"/>
      <w:marBottom w:val="0"/>
      <w:divBdr>
        <w:top w:val="none" w:sz="0" w:space="0" w:color="auto"/>
        <w:left w:val="none" w:sz="0" w:space="0" w:color="auto"/>
        <w:bottom w:val="none" w:sz="0" w:space="0" w:color="auto"/>
        <w:right w:val="none" w:sz="0" w:space="0" w:color="auto"/>
      </w:divBdr>
    </w:div>
    <w:div w:id="43722496">
      <w:marLeft w:val="0"/>
      <w:marRight w:val="0"/>
      <w:marTop w:val="0"/>
      <w:marBottom w:val="0"/>
      <w:divBdr>
        <w:top w:val="none" w:sz="0" w:space="0" w:color="auto"/>
        <w:left w:val="none" w:sz="0" w:space="0" w:color="auto"/>
        <w:bottom w:val="none" w:sz="0" w:space="0" w:color="auto"/>
        <w:right w:val="none" w:sz="0" w:space="0" w:color="auto"/>
      </w:divBdr>
    </w:div>
    <w:div w:id="52853786">
      <w:marLeft w:val="0"/>
      <w:marRight w:val="0"/>
      <w:marTop w:val="0"/>
      <w:marBottom w:val="0"/>
      <w:divBdr>
        <w:top w:val="none" w:sz="0" w:space="0" w:color="auto"/>
        <w:left w:val="none" w:sz="0" w:space="0" w:color="auto"/>
        <w:bottom w:val="none" w:sz="0" w:space="0" w:color="auto"/>
        <w:right w:val="none" w:sz="0" w:space="0" w:color="auto"/>
      </w:divBdr>
    </w:div>
    <w:div w:id="57634104">
      <w:marLeft w:val="0"/>
      <w:marRight w:val="0"/>
      <w:marTop w:val="0"/>
      <w:marBottom w:val="0"/>
      <w:divBdr>
        <w:top w:val="none" w:sz="0" w:space="0" w:color="auto"/>
        <w:left w:val="none" w:sz="0" w:space="0" w:color="auto"/>
        <w:bottom w:val="none" w:sz="0" w:space="0" w:color="auto"/>
        <w:right w:val="none" w:sz="0" w:space="0" w:color="auto"/>
      </w:divBdr>
    </w:div>
    <w:div w:id="64229633">
      <w:marLeft w:val="0"/>
      <w:marRight w:val="0"/>
      <w:marTop w:val="0"/>
      <w:marBottom w:val="0"/>
      <w:divBdr>
        <w:top w:val="none" w:sz="0" w:space="0" w:color="auto"/>
        <w:left w:val="none" w:sz="0" w:space="0" w:color="auto"/>
        <w:bottom w:val="none" w:sz="0" w:space="0" w:color="auto"/>
        <w:right w:val="none" w:sz="0" w:space="0" w:color="auto"/>
      </w:divBdr>
      <w:divsChild>
        <w:div w:id="886725378">
          <w:marLeft w:val="0"/>
          <w:marRight w:val="0"/>
          <w:marTop w:val="0"/>
          <w:marBottom w:val="0"/>
          <w:divBdr>
            <w:top w:val="none" w:sz="0" w:space="0" w:color="auto"/>
            <w:left w:val="none" w:sz="0" w:space="0" w:color="auto"/>
            <w:bottom w:val="none" w:sz="0" w:space="0" w:color="auto"/>
            <w:right w:val="none" w:sz="0" w:space="0" w:color="auto"/>
          </w:divBdr>
        </w:div>
      </w:divsChild>
    </w:div>
    <w:div w:id="80638294">
      <w:marLeft w:val="0"/>
      <w:marRight w:val="0"/>
      <w:marTop w:val="0"/>
      <w:marBottom w:val="0"/>
      <w:divBdr>
        <w:top w:val="none" w:sz="0" w:space="0" w:color="auto"/>
        <w:left w:val="none" w:sz="0" w:space="0" w:color="auto"/>
        <w:bottom w:val="none" w:sz="0" w:space="0" w:color="auto"/>
        <w:right w:val="none" w:sz="0" w:space="0" w:color="auto"/>
      </w:divBdr>
    </w:div>
    <w:div w:id="82649657">
      <w:marLeft w:val="0"/>
      <w:marRight w:val="0"/>
      <w:marTop w:val="0"/>
      <w:marBottom w:val="0"/>
      <w:divBdr>
        <w:top w:val="none" w:sz="0" w:space="0" w:color="auto"/>
        <w:left w:val="none" w:sz="0" w:space="0" w:color="auto"/>
        <w:bottom w:val="none" w:sz="0" w:space="0" w:color="auto"/>
        <w:right w:val="none" w:sz="0" w:space="0" w:color="auto"/>
      </w:divBdr>
    </w:div>
    <w:div w:id="95904915">
      <w:marLeft w:val="0"/>
      <w:marRight w:val="0"/>
      <w:marTop w:val="0"/>
      <w:marBottom w:val="0"/>
      <w:divBdr>
        <w:top w:val="none" w:sz="0" w:space="0" w:color="auto"/>
        <w:left w:val="none" w:sz="0" w:space="0" w:color="auto"/>
        <w:bottom w:val="none" w:sz="0" w:space="0" w:color="auto"/>
        <w:right w:val="none" w:sz="0" w:space="0" w:color="auto"/>
      </w:divBdr>
      <w:divsChild>
        <w:div w:id="45686066">
          <w:marLeft w:val="0"/>
          <w:marRight w:val="0"/>
          <w:marTop w:val="0"/>
          <w:marBottom w:val="0"/>
          <w:divBdr>
            <w:top w:val="none" w:sz="0" w:space="0" w:color="auto"/>
            <w:left w:val="none" w:sz="0" w:space="0" w:color="auto"/>
            <w:bottom w:val="none" w:sz="0" w:space="0" w:color="auto"/>
            <w:right w:val="none" w:sz="0" w:space="0" w:color="auto"/>
          </w:divBdr>
        </w:div>
      </w:divsChild>
    </w:div>
    <w:div w:id="100803354">
      <w:bodyDiv w:val="1"/>
      <w:marLeft w:val="0"/>
      <w:marRight w:val="0"/>
      <w:marTop w:val="0"/>
      <w:marBottom w:val="0"/>
      <w:divBdr>
        <w:top w:val="none" w:sz="0" w:space="0" w:color="auto"/>
        <w:left w:val="none" w:sz="0" w:space="0" w:color="auto"/>
        <w:bottom w:val="none" w:sz="0" w:space="0" w:color="auto"/>
        <w:right w:val="none" w:sz="0" w:space="0" w:color="auto"/>
      </w:divBdr>
    </w:div>
    <w:div w:id="101536249">
      <w:marLeft w:val="0"/>
      <w:marRight w:val="0"/>
      <w:marTop w:val="0"/>
      <w:marBottom w:val="0"/>
      <w:divBdr>
        <w:top w:val="none" w:sz="0" w:space="0" w:color="auto"/>
        <w:left w:val="none" w:sz="0" w:space="0" w:color="auto"/>
        <w:bottom w:val="none" w:sz="0" w:space="0" w:color="auto"/>
        <w:right w:val="none" w:sz="0" w:space="0" w:color="auto"/>
      </w:divBdr>
    </w:div>
    <w:div w:id="101654448">
      <w:marLeft w:val="0"/>
      <w:marRight w:val="0"/>
      <w:marTop w:val="0"/>
      <w:marBottom w:val="0"/>
      <w:divBdr>
        <w:top w:val="none" w:sz="0" w:space="0" w:color="auto"/>
        <w:left w:val="none" w:sz="0" w:space="0" w:color="auto"/>
        <w:bottom w:val="none" w:sz="0" w:space="0" w:color="auto"/>
        <w:right w:val="none" w:sz="0" w:space="0" w:color="auto"/>
      </w:divBdr>
    </w:div>
    <w:div w:id="105317692">
      <w:bodyDiv w:val="1"/>
      <w:marLeft w:val="0"/>
      <w:marRight w:val="0"/>
      <w:marTop w:val="0"/>
      <w:marBottom w:val="0"/>
      <w:divBdr>
        <w:top w:val="none" w:sz="0" w:space="0" w:color="auto"/>
        <w:left w:val="none" w:sz="0" w:space="0" w:color="auto"/>
        <w:bottom w:val="none" w:sz="0" w:space="0" w:color="auto"/>
        <w:right w:val="none" w:sz="0" w:space="0" w:color="auto"/>
      </w:divBdr>
    </w:div>
    <w:div w:id="110125264">
      <w:marLeft w:val="0"/>
      <w:marRight w:val="0"/>
      <w:marTop w:val="0"/>
      <w:marBottom w:val="0"/>
      <w:divBdr>
        <w:top w:val="none" w:sz="0" w:space="0" w:color="auto"/>
        <w:left w:val="none" w:sz="0" w:space="0" w:color="auto"/>
        <w:bottom w:val="none" w:sz="0" w:space="0" w:color="auto"/>
        <w:right w:val="none" w:sz="0" w:space="0" w:color="auto"/>
      </w:divBdr>
    </w:div>
    <w:div w:id="112555990">
      <w:marLeft w:val="0"/>
      <w:marRight w:val="0"/>
      <w:marTop w:val="0"/>
      <w:marBottom w:val="0"/>
      <w:divBdr>
        <w:top w:val="none" w:sz="0" w:space="0" w:color="auto"/>
        <w:left w:val="none" w:sz="0" w:space="0" w:color="auto"/>
        <w:bottom w:val="none" w:sz="0" w:space="0" w:color="auto"/>
        <w:right w:val="none" w:sz="0" w:space="0" w:color="auto"/>
      </w:divBdr>
    </w:div>
    <w:div w:id="118692428">
      <w:marLeft w:val="0"/>
      <w:marRight w:val="0"/>
      <w:marTop w:val="0"/>
      <w:marBottom w:val="0"/>
      <w:divBdr>
        <w:top w:val="none" w:sz="0" w:space="0" w:color="auto"/>
        <w:left w:val="none" w:sz="0" w:space="0" w:color="auto"/>
        <w:bottom w:val="none" w:sz="0" w:space="0" w:color="auto"/>
        <w:right w:val="none" w:sz="0" w:space="0" w:color="auto"/>
      </w:divBdr>
    </w:div>
    <w:div w:id="125702473">
      <w:marLeft w:val="0"/>
      <w:marRight w:val="0"/>
      <w:marTop w:val="0"/>
      <w:marBottom w:val="0"/>
      <w:divBdr>
        <w:top w:val="none" w:sz="0" w:space="0" w:color="auto"/>
        <w:left w:val="none" w:sz="0" w:space="0" w:color="auto"/>
        <w:bottom w:val="none" w:sz="0" w:space="0" w:color="auto"/>
        <w:right w:val="none" w:sz="0" w:space="0" w:color="auto"/>
      </w:divBdr>
    </w:div>
    <w:div w:id="141314068">
      <w:marLeft w:val="0"/>
      <w:marRight w:val="0"/>
      <w:marTop w:val="0"/>
      <w:marBottom w:val="0"/>
      <w:divBdr>
        <w:top w:val="none" w:sz="0" w:space="0" w:color="auto"/>
        <w:left w:val="none" w:sz="0" w:space="0" w:color="auto"/>
        <w:bottom w:val="none" w:sz="0" w:space="0" w:color="auto"/>
        <w:right w:val="none" w:sz="0" w:space="0" w:color="auto"/>
      </w:divBdr>
    </w:div>
    <w:div w:id="145244465">
      <w:marLeft w:val="0"/>
      <w:marRight w:val="0"/>
      <w:marTop w:val="0"/>
      <w:marBottom w:val="0"/>
      <w:divBdr>
        <w:top w:val="none" w:sz="0" w:space="0" w:color="auto"/>
        <w:left w:val="none" w:sz="0" w:space="0" w:color="auto"/>
        <w:bottom w:val="none" w:sz="0" w:space="0" w:color="auto"/>
        <w:right w:val="none" w:sz="0" w:space="0" w:color="auto"/>
      </w:divBdr>
    </w:div>
    <w:div w:id="173810523">
      <w:marLeft w:val="0"/>
      <w:marRight w:val="0"/>
      <w:marTop w:val="0"/>
      <w:marBottom w:val="0"/>
      <w:divBdr>
        <w:top w:val="none" w:sz="0" w:space="0" w:color="auto"/>
        <w:left w:val="none" w:sz="0" w:space="0" w:color="auto"/>
        <w:bottom w:val="none" w:sz="0" w:space="0" w:color="auto"/>
        <w:right w:val="none" w:sz="0" w:space="0" w:color="auto"/>
      </w:divBdr>
    </w:div>
    <w:div w:id="176358458">
      <w:marLeft w:val="0"/>
      <w:marRight w:val="0"/>
      <w:marTop w:val="0"/>
      <w:marBottom w:val="0"/>
      <w:divBdr>
        <w:top w:val="none" w:sz="0" w:space="0" w:color="auto"/>
        <w:left w:val="none" w:sz="0" w:space="0" w:color="auto"/>
        <w:bottom w:val="none" w:sz="0" w:space="0" w:color="auto"/>
        <w:right w:val="none" w:sz="0" w:space="0" w:color="auto"/>
      </w:divBdr>
    </w:div>
    <w:div w:id="177744959">
      <w:marLeft w:val="0"/>
      <w:marRight w:val="0"/>
      <w:marTop w:val="0"/>
      <w:marBottom w:val="0"/>
      <w:divBdr>
        <w:top w:val="none" w:sz="0" w:space="0" w:color="auto"/>
        <w:left w:val="none" w:sz="0" w:space="0" w:color="auto"/>
        <w:bottom w:val="none" w:sz="0" w:space="0" w:color="auto"/>
        <w:right w:val="none" w:sz="0" w:space="0" w:color="auto"/>
      </w:divBdr>
    </w:div>
    <w:div w:id="178129664">
      <w:marLeft w:val="0"/>
      <w:marRight w:val="0"/>
      <w:marTop w:val="0"/>
      <w:marBottom w:val="0"/>
      <w:divBdr>
        <w:top w:val="none" w:sz="0" w:space="0" w:color="auto"/>
        <w:left w:val="none" w:sz="0" w:space="0" w:color="auto"/>
        <w:bottom w:val="none" w:sz="0" w:space="0" w:color="auto"/>
        <w:right w:val="none" w:sz="0" w:space="0" w:color="auto"/>
      </w:divBdr>
    </w:div>
    <w:div w:id="194118787">
      <w:marLeft w:val="0"/>
      <w:marRight w:val="0"/>
      <w:marTop w:val="0"/>
      <w:marBottom w:val="0"/>
      <w:divBdr>
        <w:top w:val="none" w:sz="0" w:space="0" w:color="auto"/>
        <w:left w:val="none" w:sz="0" w:space="0" w:color="auto"/>
        <w:bottom w:val="none" w:sz="0" w:space="0" w:color="auto"/>
        <w:right w:val="none" w:sz="0" w:space="0" w:color="auto"/>
      </w:divBdr>
      <w:divsChild>
        <w:div w:id="1144544376">
          <w:marLeft w:val="0"/>
          <w:marRight w:val="0"/>
          <w:marTop w:val="0"/>
          <w:marBottom w:val="0"/>
          <w:divBdr>
            <w:top w:val="none" w:sz="0" w:space="0" w:color="auto"/>
            <w:left w:val="none" w:sz="0" w:space="0" w:color="auto"/>
            <w:bottom w:val="none" w:sz="0" w:space="0" w:color="auto"/>
            <w:right w:val="none" w:sz="0" w:space="0" w:color="auto"/>
          </w:divBdr>
        </w:div>
      </w:divsChild>
    </w:div>
    <w:div w:id="201214725">
      <w:marLeft w:val="0"/>
      <w:marRight w:val="0"/>
      <w:marTop w:val="0"/>
      <w:marBottom w:val="0"/>
      <w:divBdr>
        <w:top w:val="none" w:sz="0" w:space="0" w:color="auto"/>
        <w:left w:val="none" w:sz="0" w:space="0" w:color="auto"/>
        <w:bottom w:val="none" w:sz="0" w:space="0" w:color="auto"/>
        <w:right w:val="none" w:sz="0" w:space="0" w:color="auto"/>
      </w:divBdr>
    </w:div>
    <w:div w:id="201938532">
      <w:bodyDiv w:val="1"/>
      <w:marLeft w:val="0"/>
      <w:marRight w:val="0"/>
      <w:marTop w:val="0"/>
      <w:marBottom w:val="0"/>
      <w:divBdr>
        <w:top w:val="none" w:sz="0" w:space="0" w:color="auto"/>
        <w:left w:val="none" w:sz="0" w:space="0" w:color="auto"/>
        <w:bottom w:val="none" w:sz="0" w:space="0" w:color="auto"/>
        <w:right w:val="none" w:sz="0" w:space="0" w:color="auto"/>
      </w:divBdr>
    </w:div>
    <w:div w:id="207184369">
      <w:marLeft w:val="0"/>
      <w:marRight w:val="0"/>
      <w:marTop w:val="0"/>
      <w:marBottom w:val="0"/>
      <w:divBdr>
        <w:top w:val="none" w:sz="0" w:space="0" w:color="auto"/>
        <w:left w:val="none" w:sz="0" w:space="0" w:color="auto"/>
        <w:bottom w:val="none" w:sz="0" w:space="0" w:color="auto"/>
        <w:right w:val="none" w:sz="0" w:space="0" w:color="auto"/>
      </w:divBdr>
    </w:div>
    <w:div w:id="214052218">
      <w:marLeft w:val="0"/>
      <w:marRight w:val="0"/>
      <w:marTop w:val="0"/>
      <w:marBottom w:val="0"/>
      <w:divBdr>
        <w:top w:val="none" w:sz="0" w:space="0" w:color="auto"/>
        <w:left w:val="none" w:sz="0" w:space="0" w:color="auto"/>
        <w:bottom w:val="none" w:sz="0" w:space="0" w:color="auto"/>
        <w:right w:val="none" w:sz="0" w:space="0" w:color="auto"/>
      </w:divBdr>
      <w:divsChild>
        <w:div w:id="500242164">
          <w:marLeft w:val="0"/>
          <w:marRight w:val="0"/>
          <w:marTop w:val="0"/>
          <w:marBottom w:val="0"/>
          <w:divBdr>
            <w:top w:val="none" w:sz="0" w:space="0" w:color="auto"/>
            <w:left w:val="none" w:sz="0" w:space="0" w:color="auto"/>
            <w:bottom w:val="none" w:sz="0" w:space="0" w:color="auto"/>
            <w:right w:val="none" w:sz="0" w:space="0" w:color="auto"/>
          </w:divBdr>
        </w:div>
      </w:divsChild>
    </w:div>
    <w:div w:id="219289652">
      <w:marLeft w:val="0"/>
      <w:marRight w:val="0"/>
      <w:marTop w:val="0"/>
      <w:marBottom w:val="0"/>
      <w:divBdr>
        <w:top w:val="none" w:sz="0" w:space="0" w:color="auto"/>
        <w:left w:val="none" w:sz="0" w:space="0" w:color="auto"/>
        <w:bottom w:val="none" w:sz="0" w:space="0" w:color="auto"/>
        <w:right w:val="none" w:sz="0" w:space="0" w:color="auto"/>
      </w:divBdr>
    </w:div>
    <w:div w:id="231702488">
      <w:marLeft w:val="0"/>
      <w:marRight w:val="0"/>
      <w:marTop w:val="0"/>
      <w:marBottom w:val="0"/>
      <w:divBdr>
        <w:top w:val="none" w:sz="0" w:space="0" w:color="auto"/>
        <w:left w:val="none" w:sz="0" w:space="0" w:color="auto"/>
        <w:bottom w:val="none" w:sz="0" w:space="0" w:color="auto"/>
        <w:right w:val="none" w:sz="0" w:space="0" w:color="auto"/>
      </w:divBdr>
    </w:div>
    <w:div w:id="232007022">
      <w:marLeft w:val="0"/>
      <w:marRight w:val="0"/>
      <w:marTop w:val="0"/>
      <w:marBottom w:val="0"/>
      <w:divBdr>
        <w:top w:val="none" w:sz="0" w:space="0" w:color="auto"/>
        <w:left w:val="none" w:sz="0" w:space="0" w:color="auto"/>
        <w:bottom w:val="none" w:sz="0" w:space="0" w:color="auto"/>
        <w:right w:val="none" w:sz="0" w:space="0" w:color="auto"/>
      </w:divBdr>
    </w:div>
    <w:div w:id="232811725">
      <w:marLeft w:val="0"/>
      <w:marRight w:val="0"/>
      <w:marTop w:val="0"/>
      <w:marBottom w:val="0"/>
      <w:divBdr>
        <w:top w:val="none" w:sz="0" w:space="0" w:color="auto"/>
        <w:left w:val="none" w:sz="0" w:space="0" w:color="auto"/>
        <w:bottom w:val="none" w:sz="0" w:space="0" w:color="auto"/>
        <w:right w:val="none" w:sz="0" w:space="0" w:color="auto"/>
      </w:divBdr>
      <w:divsChild>
        <w:div w:id="1190678170">
          <w:marLeft w:val="0"/>
          <w:marRight w:val="0"/>
          <w:marTop w:val="0"/>
          <w:marBottom w:val="0"/>
          <w:divBdr>
            <w:top w:val="none" w:sz="0" w:space="0" w:color="auto"/>
            <w:left w:val="none" w:sz="0" w:space="0" w:color="auto"/>
            <w:bottom w:val="none" w:sz="0" w:space="0" w:color="auto"/>
            <w:right w:val="none" w:sz="0" w:space="0" w:color="auto"/>
          </w:divBdr>
        </w:div>
      </w:divsChild>
    </w:div>
    <w:div w:id="243884820">
      <w:marLeft w:val="0"/>
      <w:marRight w:val="0"/>
      <w:marTop w:val="0"/>
      <w:marBottom w:val="0"/>
      <w:divBdr>
        <w:top w:val="none" w:sz="0" w:space="0" w:color="auto"/>
        <w:left w:val="none" w:sz="0" w:space="0" w:color="auto"/>
        <w:bottom w:val="none" w:sz="0" w:space="0" w:color="auto"/>
        <w:right w:val="none" w:sz="0" w:space="0" w:color="auto"/>
      </w:divBdr>
    </w:div>
    <w:div w:id="244190867">
      <w:marLeft w:val="0"/>
      <w:marRight w:val="0"/>
      <w:marTop w:val="0"/>
      <w:marBottom w:val="0"/>
      <w:divBdr>
        <w:top w:val="none" w:sz="0" w:space="0" w:color="auto"/>
        <w:left w:val="none" w:sz="0" w:space="0" w:color="auto"/>
        <w:bottom w:val="none" w:sz="0" w:space="0" w:color="auto"/>
        <w:right w:val="none" w:sz="0" w:space="0" w:color="auto"/>
      </w:divBdr>
    </w:div>
    <w:div w:id="247470842">
      <w:marLeft w:val="0"/>
      <w:marRight w:val="0"/>
      <w:marTop w:val="0"/>
      <w:marBottom w:val="0"/>
      <w:divBdr>
        <w:top w:val="none" w:sz="0" w:space="0" w:color="auto"/>
        <w:left w:val="none" w:sz="0" w:space="0" w:color="auto"/>
        <w:bottom w:val="none" w:sz="0" w:space="0" w:color="auto"/>
        <w:right w:val="none" w:sz="0" w:space="0" w:color="auto"/>
      </w:divBdr>
    </w:div>
    <w:div w:id="250630898">
      <w:marLeft w:val="0"/>
      <w:marRight w:val="0"/>
      <w:marTop w:val="0"/>
      <w:marBottom w:val="0"/>
      <w:divBdr>
        <w:top w:val="none" w:sz="0" w:space="0" w:color="auto"/>
        <w:left w:val="none" w:sz="0" w:space="0" w:color="auto"/>
        <w:bottom w:val="none" w:sz="0" w:space="0" w:color="auto"/>
        <w:right w:val="none" w:sz="0" w:space="0" w:color="auto"/>
      </w:divBdr>
      <w:divsChild>
        <w:div w:id="1439108027">
          <w:marLeft w:val="0"/>
          <w:marRight w:val="0"/>
          <w:marTop w:val="0"/>
          <w:marBottom w:val="0"/>
          <w:divBdr>
            <w:top w:val="none" w:sz="0" w:space="0" w:color="auto"/>
            <w:left w:val="none" w:sz="0" w:space="0" w:color="auto"/>
            <w:bottom w:val="none" w:sz="0" w:space="0" w:color="auto"/>
            <w:right w:val="none" w:sz="0" w:space="0" w:color="auto"/>
          </w:divBdr>
        </w:div>
      </w:divsChild>
    </w:div>
    <w:div w:id="254098355">
      <w:marLeft w:val="0"/>
      <w:marRight w:val="0"/>
      <w:marTop w:val="0"/>
      <w:marBottom w:val="0"/>
      <w:divBdr>
        <w:top w:val="none" w:sz="0" w:space="0" w:color="auto"/>
        <w:left w:val="none" w:sz="0" w:space="0" w:color="auto"/>
        <w:bottom w:val="none" w:sz="0" w:space="0" w:color="auto"/>
        <w:right w:val="none" w:sz="0" w:space="0" w:color="auto"/>
      </w:divBdr>
    </w:div>
    <w:div w:id="255604402">
      <w:marLeft w:val="0"/>
      <w:marRight w:val="0"/>
      <w:marTop w:val="0"/>
      <w:marBottom w:val="0"/>
      <w:divBdr>
        <w:top w:val="none" w:sz="0" w:space="0" w:color="auto"/>
        <w:left w:val="none" w:sz="0" w:space="0" w:color="auto"/>
        <w:bottom w:val="none" w:sz="0" w:space="0" w:color="auto"/>
        <w:right w:val="none" w:sz="0" w:space="0" w:color="auto"/>
      </w:divBdr>
    </w:div>
    <w:div w:id="256912577">
      <w:marLeft w:val="0"/>
      <w:marRight w:val="0"/>
      <w:marTop w:val="0"/>
      <w:marBottom w:val="0"/>
      <w:divBdr>
        <w:top w:val="none" w:sz="0" w:space="0" w:color="auto"/>
        <w:left w:val="none" w:sz="0" w:space="0" w:color="auto"/>
        <w:bottom w:val="none" w:sz="0" w:space="0" w:color="auto"/>
        <w:right w:val="none" w:sz="0" w:space="0" w:color="auto"/>
      </w:divBdr>
    </w:div>
    <w:div w:id="258754974">
      <w:marLeft w:val="0"/>
      <w:marRight w:val="0"/>
      <w:marTop w:val="0"/>
      <w:marBottom w:val="0"/>
      <w:divBdr>
        <w:top w:val="none" w:sz="0" w:space="0" w:color="auto"/>
        <w:left w:val="none" w:sz="0" w:space="0" w:color="auto"/>
        <w:bottom w:val="none" w:sz="0" w:space="0" w:color="auto"/>
        <w:right w:val="none" w:sz="0" w:space="0" w:color="auto"/>
      </w:divBdr>
    </w:div>
    <w:div w:id="266078980">
      <w:marLeft w:val="0"/>
      <w:marRight w:val="0"/>
      <w:marTop w:val="0"/>
      <w:marBottom w:val="0"/>
      <w:divBdr>
        <w:top w:val="none" w:sz="0" w:space="0" w:color="auto"/>
        <w:left w:val="none" w:sz="0" w:space="0" w:color="auto"/>
        <w:bottom w:val="none" w:sz="0" w:space="0" w:color="auto"/>
        <w:right w:val="none" w:sz="0" w:space="0" w:color="auto"/>
      </w:divBdr>
      <w:divsChild>
        <w:div w:id="1724520707">
          <w:marLeft w:val="0"/>
          <w:marRight w:val="0"/>
          <w:marTop w:val="0"/>
          <w:marBottom w:val="0"/>
          <w:divBdr>
            <w:top w:val="none" w:sz="0" w:space="0" w:color="auto"/>
            <w:left w:val="none" w:sz="0" w:space="0" w:color="auto"/>
            <w:bottom w:val="none" w:sz="0" w:space="0" w:color="auto"/>
            <w:right w:val="none" w:sz="0" w:space="0" w:color="auto"/>
          </w:divBdr>
        </w:div>
      </w:divsChild>
    </w:div>
    <w:div w:id="268707823">
      <w:marLeft w:val="0"/>
      <w:marRight w:val="0"/>
      <w:marTop w:val="0"/>
      <w:marBottom w:val="0"/>
      <w:divBdr>
        <w:top w:val="none" w:sz="0" w:space="0" w:color="auto"/>
        <w:left w:val="none" w:sz="0" w:space="0" w:color="auto"/>
        <w:bottom w:val="none" w:sz="0" w:space="0" w:color="auto"/>
        <w:right w:val="none" w:sz="0" w:space="0" w:color="auto"/>
      </w:divBdr>
    </w:div>
    <w:div w:id="269245932">
      <w:marLeft w:val="0"/>
      <w:marRight w:val="0"/>
      <w:marTop w:val="0"/>
      <w:marBottom w:val="0"/>
      <w:divBdr>
        <w:top w:val="none" w:sz="0" w:space="0" w:color="auto"/>
        <w:left w:val="none" w:sz="0" w:space="0" w:color="auto"/>
        <w:bottom w:val="none" w:sz="0" w:space="0" w:color="auto"/>
        <w:right w:val="none" w:sz="0" w:space="0" w:color="auto"/>
      </w:divBdr>
    </w:div>
    <w:div w:id="276956332">
      <w:marLeft w:val="0"/>
      <w:marRight w:val="0"/>
      <w:marTop w:val="0"/>
      <w:marBottom w:val="0"/>
      <w:divBdr>
        <w:top w:val="none" w:sz="0" w:space="0" w:color="auto"/>
        <w:left w:val="none" w:sz="0" w:space="0" w:color="auto"/>
        <w:bottom w:val="none" w:sz="0" w:space="0" w:color="auto"/>
        <w:right w:val="none" w:sz="0" w:space="0" w:color="auto"/>
      </w:divBdr>
    </w:div>
    <w:div w:id="277492108">
      <w:marLeft w:val="0"/>
      <w:marRight w:val="0"/>
      <w:marTop w:val="0"/>
      <w:marBottom w:val="0"/>
      <w:divBdr>
        <w:top w:val="none" w:sz="0" w:space="0" w:color="auto"/>
        <w:left w:val="none" w:sz="0" w:space="0" w:color="auto"/>
        <w:bottom w:val="none" w:sz="0" w:space="0" w:color="auto"/>
        <w:right w:val="none" w:sz="0" w:space="0" w:color="auto"/>
      </w:divBdr>
    </w:div>
    <w:div w:id="292709712">
      <w:marLeft w:val="0"/>
      <w:marRight w:val="0"/>
      <w:marTop w:val="0"/>
      <w:marBottom w:val="0"/>
      <w:divBdr>
        <w:top w:val="none" w:sz="0" w:space="0" w:color="auto"/>
        <w:left w:val="none" w:sz="0" w:space="0" w:color="auto"/>
        <w:bottom w:val="none" w:sz="0" w:space="0" w:color="auto"/>
        <w:right w:val="none" w:sz="0" w:space="0" w:color="auto"/>
      </w:divBdr>
    </w:div>
    <w:div w:id="293877542">
      <w:marLeft w:val="0"/>
      <w:marRight w:val="0"/>
      <w:marTop w:val="0"/>
      <w:marBottom w:val="0"/>
      <w:divBdr>
        <w:top w:val="none" w:sz="0" w:space="0" w:color="auto"/>
        <w:left w:val="none" w:sz="0" w:space="0" w:color="auto"/>
        <w:bottom w:val="none" w:sz="0" w:space="0" w:color="auto"/>
        <w:right w:val="none" w:sz="0" w:space="0" w:color="auto"/>
      </w:divBdr>
    </w:div>
    <w:div w:id="300503236">
      <w:marLeft w:val="0"/>
      <w:marRight w:val="0"/>
      <w:marTop w:val="0"/>
      <w:marBottom w:val="0"/>
      <w:divBdr>
        <w:top w:val="none" w:sz="0" w:space="0" w:color="auto"/>
        <w:left w:val="none" w:sz="0" w:space="0" w:color="auto"/>
        <w:bottom w:val="none" w:sz="0" w:space="0" w:color="auto"/>
        <w:right w:val="none" w:sz="0" w:space="0" w:color="auto"/>
      </w:divBdr>
    </w:div>
    <w:div w:id="303585306">
      <w:marLeft w:val="0"/>
      <w:marRight w:val="0"/>
      <w:marTop w:val="0"/>
      <w:marBottom w:val="0"/>
      <w:divBdr>
        <w:top w:val="none" w:sz="0" w:space="0" w:color="auto"/>
        <w:left w:val="none" w:sz="0" w:space="0" w:color="auto"/>
        <w:bottom w:val="none" w:sz="0" w:space="0" w:color="auto"/>
        <w:right w:val="none" w:sz="0" w:space="0" w:color="auto"/>
      </w:divBdr>
    </w:div>
    <w:div w:id="307169409">
      <w:marLeft w:val="0"/>
      <w:marRight w:val="0"/>
      <w:marTop w:val="0"/>
      <w:marBottom w:val="0"/>
      <w:divBdr>
        <w:top w:val="none" w:sz="0" w:space="0" w:color="auto"/>
        <w:left w:val="none" w:sz="0" w:space="0" w:color="auto"/>
        <w:bottom w:val="none" w:sz="0" w:space="0" w:color="auto"/>
        <w:right w:val="none" w:sz="0" w:space="0" w:color="auto"/>
      </w:divBdr>
    </w:div>
    <w:div w:id="317080390">
      <w:marLeft w:val="0"/>
      <w:marRight w:val="0"/>
      <w:marTop w:val="0"/>
      <w:marBottom w:val="0"/>
      <w:divBdr>
        <w:top w:val="none" w:sz="0" w:space="0" w:color="auto"/>
        <w:left w:val="none" w:sz="0" w:space="0" w:color="auto"/>
        <w:bottom w:val="none" w:sz="0" w:space="0" w:color="auto"/>
        <w:right w:val="none" w:sz="0" w:space="0" w:color="auto"/>
      </w:divBdr>
      <w:divsChild>
        <w:div w:id="1704747629">
          <w:marLeft w:val="0"/>
          <w:marRight w:val="0"/>
          <w:marTop w:val="0"/>
          <w:marBottom w:val="0"/>
          <w:divBdr>
            <w:top w:val="none" w:sz="0" w:space="0" w:color="auto"/>
            <w:left w:val="none" w:sz="0" w:space="0" w:color="auto"/>
            <w:bottom w:val="none" w:sz="0" w:space="0" w:color="auto"/>
            <w:right w:val="none" w:sz="0" w:space="0" w:color="auto"/>
          </w:divBdr>
        </w:div>
      </w:divsChild>
    </w:div>
    <w:div w:id="335422124">
      <w:marLeft w:val="0"/>
      <w:marRight w:val="0"/>
      <w:marTop w:val="0"/>
      <w:marBottom w:val="0"/>
      <w:divBdr>
        <w:top w:val="none" w:sz="0" w:space="0" w:color="auto"/>
        <w:left w:val="none" w:sz="0" w:space="0" w:color="auto"/>
        <w:bottom w:val="none" w:sz="0" w:space="0" w:color="auto"/>
        <w:right w:val="none" w:sz="0" w:space="0" w:color="auto"/>
      </w:divBdr>
    </w:div>
    <w:div w:id="348217197">
      <w:marLeft w:val="0"/>
      <w:marRight w:val="0"/>
      <w:marTop w:val="0"/>
      <w:marBottom w:val="0"/>
      <w:divBdr>
        <w:top w:val="none" w:sz="0" w:space="0" w:color="auto"/>
        <w:left w:val="none" w:sz="0" w:space="0" w:color="auto"/>
        <w:bottom w:val="none" w:sz="0" w:space="0" w:color="auto"/>
        <w:right w:val="none" w:sz="0" w:space="0" w:color="auto"/>
      </w:divBdr>
    </w:div>
    <w:div w:id="348457221">
      <w:bodyDiv w:val="1"/>
      <w:marLeft w:val="0"/>
      <w:marRight w:val="0"/>
      <w:marTop w:val="0"/>
      <w:marBottom w:val="0"/>
      <w:divBdr>
        <w:top w:val="none" w:sz="0" w:space="0" w:color="auto"/>
        <w:left w:val="none" w:sz="0" w:space="0" w:color="auto"/>
        <w:bottom w:val="none" w:sz="0" w:space="0" w:color="auto"/>
        <w:right w:val="none" w:sz="0" w:space="0" w:color="auto"/>
      </w:divBdr>
      <w:divsChild>
        <w:div w:id="280958761">
          <w:marLeft w:val="0"/>
          <w:marRight w:val="0"/>
          <w:marTop w:val="0"/>
          <w:marBottom w:val="0"/>
          <w:divBdr>
            <w:top w:val="none" w:sz="0" w:space="0" w:color="auto"/>
            <w:left w:val="none" w:sz="0" w:space="0" w:color="auto"/>
            <w:bottom w:val="none" w:sz="0" w:space="0" w:color="auto"/>
            <w:right w:val="none" w:sz="0" w:space="0" w:color="auto"/>
          </w:divBdr>
        </w:div>
      </w:divsChild>
    </w:div>
    <w:div w:id="352616076">
      <w:marLeft w:val="0"/>
      <w:marRight w:val="0"/>
      <w:marTop w:val="0"/>
      <w:marBottom w:val="0"/>
      <w:divBdr>
        <w:top w:val="none" w:sz="0" w:space="0" w:color="auto"/>
        <w:left w:val="none" w:sz="0" w:space="0" w:color="auto"/>
        <w:bottom w:val="none" w:sz="0" w:space="0" w:color="auto"/>
        <w:right w:val="none" w:sz="0" w:space="0" w:color="auto"/>
      </w:divBdr>
    </w:div>
    <w:div w:id="367295897">
      <w:marLeft w:val="0"/>
      <w:marRight w:val="0"/>
      <w:marTop w:val="0"/>
      <w:marBottom w:val="0"/>
      <w:divBdr>
        <w:top w:val="none" w:sz="0" w:space="0" w:color="auto"/>
        <w:left w:val="none" w:sz="0" w:space="0" w:color="auto"/>
        <w:bottom w:val="none" w:sz="0" w:space="0" w:color="auto"/>
        <w:right w:val="none" w:sz="0" w:space="0" w:color="auto"/>
      </w:divBdr>
    </w:div>
    <w:div w:id="370302394">
      <w:marLeft w:val="0"/>
      <w:marRight w:val="0"/>
      <w:marTop w:val="0"/>
      <w:marBottom w:val="0"/>
      <w:divBdr>
        <w:top w:val="none" w:sz="0" w:space="0" w:color="auto"/>
        <w:left w:val="none" w:sz="0" w:space="0" w:color="auto"/>
        <w:bottom w:val="none" w:sz="0" w:space="0" w:color="auto"/>
        <w:right w:val="none" w:sz="0" w:space="0" w:color="auto"/>
      </w:divBdr>
    </w:div>
    <w:div w:id="372006011">
      <w:marLeft w:val="0"/>
      <w:marRight w:val="0"/>
      <w:marTop w:val="0"/>
      <w:marBottom w:val="0"/>
      <w:divBdr>
        <w:top w:val="none" w:sz="0" w:space="0" w:color="auto"/>
        <w:left w:val="none" w:sz="0" w:space="0" w:color="auto"/>
        <w:bottom w:val="none" w:sz="0" w:space="0" w:color="auto"/>
        <w:right w:val="none" w:sz="0" w:space="0" w:color="auto"/>
      </w:divBdr>
    </w:div>
    <w:div w:id="374282467">
      <w:bodyDiv w:val="1"/>
      <w:marLeft w:val="0"/>
      <w:marRight w:val="0"/>
      <w:marTop w:val="0"/>
      <w:marBottom w:val="0"/>
      <w:divBdr>
        <w:top w:val="none" w:sz="0" w:space="0" w:color="auto"/>
        <w:left w:val="none" w:sz="0" w:space="0" w:color="auto"/>
        <w:bottom w:val="none" w:sz="0" w:space="0" w:color="auto"/>
        <w:right w:val="none" w:sz="0" w:space="0" w:color="auto"/>
      </w:divBdr>
    </w:div>
    <w:div w:id="375278303">
      <w:marLeft w:val="0"/>
      <w:marRight w:val="0"/>
      <w:marTop w:val="0"/>
      <w:marBottom w:val="0"/>
      <w:divBdr>
        <w:top w:val="none" w:sz="0" w:space="0" w:color="auto"/>
        <w:left w:val="none" w:sz="0" w:space="0" w:color="auto"/>
        <w:bottom w:val="none" w:sz="0" w:space="0" w:color="auto"/>
        <w:right w:val="none" w:sz="0" w:space="0" w:color="auto"/>
      </w:divBdr>
    </w:div>
    <w:div w:id="376513729">
      <w:marLeft w:val="0"/>
      <w:marRight w:val="0"/>
      <w:marTop w:val="0"/>
      <w:marBottom w:val="0"/>
      <w:divBdr>
        <w:top w:val="none" w:sz="0" w:space="0" w:color="auto"/>
        <w:left w:val="none" w:sz="0" w:space="0" w:color="auto"/>
        <w:bottom w:val="none" w:sz="0" w:space="0" w:color="auto"/>
        <w:right w:val="none" w:sz="0" w:space="0" w:color="auto"/>
      </w:divBdr>
      <w:divsChild>
        <w:div w:id="161706713">
          <w:marLeft w:val="0"/>
          <w:marRight w:val="0"/>
          <w:marTop w:val="0"/>
          <w:marBottom w:val="0"/>
          <w:divBdr>
            <w:top w:val="none" w:sz="0" w:space="0" w:color="auto"/>
            <w:left w:val="none" w:sz="0" w:space="0" w:color="auto"/>
            <w:bottom w:val="none" w:sz="0" w:space="0" w:color="auto"/>
            <w:right w:val="none" w:sz="0" w:space="0" w:color="auto"/>
          </w:divBdr>
        </w:div>
      </w:divsChild>
    </w:div>
    <w:div w:id="379331792">
      <w:marLeft w:val="0"/>
      <w:marRight w:val="0"/>
      <w:marTop w:val="0"/>
      <w:marBottom w:val="0"/>
      <w:divBdr>
        <w:top w:val="none" w:sz="0" w:space="0" w:color="auto"/>
        <w:left w:val="none" w:sz="0" w:space="0" w:color="auto"/>
        <w:bottom w:val="none" w:sz="0" w:space="0" w:color="auto"/>
        <w:right w:val="none" w:sz="0" w:space="0" w:color="auto"/>
      </w:divBdr>
      <w:divsChild>
        <w:div w:id="692268286">
          <w:marLeft w:val="0"/>
          <w:marRight w:val="0"/>
          <w:marTop w:val="0"/>
          <w:marBottom w:val="0"/>
          <w:divBdr>
            <w:top w:val="none" w:sz="0" w:space="0" w:color="auto"/>
            <w:left w:val="none" w:sz="0" w:space="0" w:color="auto"/>
            <w:bottom w:val="none" w:sz="0" w:space="0" w:color="auto"/>
            <w:right w:val="none" w:sz="0" w:space="0" w:color="auto"/>
          </w:divBdr>
        </w:div>
      </w:divsChild>
    </w:div>
    <w:div w:id="389110187">
      <w:marLeft w:val="0"/>
      <w:marRight w:val="0"/>
      <w:marTop w:val="0"/>
      <w:marBottom w:val="0"/>
      <w:divBdr>
        <w:top w:val="none" w:sz="0" w:space="0" w:color="auto"/>
        <w:left w:val="none" w:sz="0" w:space="0" w:color="auto"/>
        <w:bottom w:val="none" w:sz="0" w:space="0" w:color="auto"/>
        <w:right w:val="none" w:sz="0" w:space="0" w:color="auto"/>
      </w:divBdr>
    </w:div>
    <w:div w:id="390349322">
      <w:marLeft w:val="0"/>
      <w:marRight w:val="0"/>
      <w:marTop w:val="0"/>
      <w:marBottom w:val="0"/>
      <w:divBdr>
        <w:top w:val="none" w:sz="0" w:space="0" w:color="auto"/>
        <w:left w:val="none" w:sz="0" w:space="0" w:color="auto"/>
        <w:bottom w:val="none" w:sz="0" w:space="0" w:color="auto"/>
        <w:right w:val="none" w:sz="0" w:space="0" w:color="auto"/>
      </w:divBdr>
    </w:div>
    <w:div w:id="401637317">
      <w:marLeft w:val="0"/>
      <w:marRight w:val="0"/>
      <w:marTop w:val="0"/>
      <w:marBottom w:val="0"/>
      <w:divBdr>
        <w:top w:val="none" w:sz="0" w:space="0" w:color="auto"/>
        <w:left w:val="none" w:sz="0" w:space="0" w:color="auto"/>
        <w:bottom w:val="none" w:sz="0" w:space="0" w:color="auto"/>
        <w:right w:val="none" w:sz="0" w:space="0" w:color="auto"/>
      </w:divBdr>
    </w:div>
    <w:div w:id="413671822">
      <w:marLeft w:val="0"/>
      <w:marRight w:val="0"/>
      <w:marTop w:val="0"/>
      <w:marBottom w:val="0"/>
      <w:divBdr>
        <w:top w:val="none" w:sz="0" w:space="0" w:color="auto"/>
        <w:left w:val="none" w:sz="0" w:space="0" w:color="auto"/>
        <w:bottom w:val="none" w:sz="0" w:space="0" w:color="auto"/>
        <w:right w:val="none" w:sz="0" w:space="0" w:color="auto"/>
      </w:divBdr>
    </w:div>
    <w:div w:id="420834804">
      <w:marLeft w:val="0"/>
      <w:marRight w:val="0"/>
      <w:marTop w:val="0"/>
      <w:marBottom w:val="0"/>
      <w:divBdr>
        <w:top w:val="none" w:sz="0" w:space="0" w:color="auto"/>
        <w:left w:val="none" w:sz="0" w:space="0" w:color="auto"/>
        <w:bottom w:val="none" w:sz="0" w:space="0" w:color="auto"/>
        <w:right w:val="none" w:sz="0" w:space="0" w:color="auto"/>
      </w:divBdr>
    </w:div>
    <w:div w:id="429010309">
      <w:marLeft w:val="0"/>
      <w:marRight w:val="0"/>
      <w:marTop w:val="0"/>
      <w:marBottom w:val="0"/>
      <w:divBdr>
        <w:top w:val="none" w:sz="0" w:space="0" w:color="auto"/>
        <w:left w:val="none" w:sz="0" w:space="0" w:color="auto"/>
        <w:bottom w:val="none" w:sz="0" w:space="0" w:color="auto"/>
        <w:right w:val="none" w:sz="0" w:space="0" w:color="auto"/>
      </w:divBdr>
    </w:div>
    <w:div w:id="435292308">
      <w:marLeft w:val="0"/>
      <w:marRight w:val="0"/>
      <w:marTop w:val="0"/>
      <w:marBottom w:val="0"/>
      <w:divBdr>
        <w:top w:val="none" w:sz="0" w:space="0" w:color="auto"/>
        <w:left w:val="none" w:sz="0" w:space="0" w:color="auto"/>
        <w:bottom w:val="none" w:sz="0" w:space="0" w:color="auto"/>
        <w:right w:val="none" w:sz="0" w:space="0" w:color="auto"/>
      </w:divBdr>
    </w:div>
    <w:div w:id="437600727">
      <w:marLeft w:val="0"/>
      <w:marRight w:val="0"/>
      <w:marTop w:val="0"/>
      <w:marBottom w:val="0"/>
      <w:divBdr>
        <w:top w:val="none" w:sz="0" w:space="0" w:color="auto"/>
        <w:left w:val="none" w:sz="0" w:space="0" w:color="auto"/>
        <w:bottom w:val="none" w:sz="0" w:space="0" w:color="auto"/>
        <w:right w:val="none" w:sz="0" w:space="0" w:color="auto"/>
      </w:divBdr>
      <w:divsChild>
        <w:div w:id="654262491">
          <w:marLeft w:val="0"/>
          <w:marRight w:val="0"/>
          <w:marTop w:val="0"/>
          <w:marBottom w:val="0"/>
          <w:divBdr>
            <w:top w:val="none" w:sz="0" w:space="0" w:color="auto"/>
            <w:left w:val="none" w:sz="0" w:space="0" w:color="auto"/>
            <w:bottom w:val="none" w:sz="0" w:space="0" w:color="auto"/>
            <w:right w:val="none" w:sz="0" w:space="0" w:color="auto"/>
          </w:divBdr>
        </w:div>
      </w:divsChild>
    </w:div>
    <w:div w:id="456996459">
      <w:marLeft w:val="0"/>
      <w:marRight w:val="0"/>
      <w:marTop w:val="0"/>
      <w:marBottom w:val="0"/>
      <w:divBdr>
        <w:top w:val="none" w:sz="0" w:space="0" w:color="auto"/>
        <w:left w:val="none" w:sz="0" w:space="0" w:color="auto"/>
        <w:bottom w:val="none" w:sz="0" w:space="0" w:color="auto"/>
        <w:right w:val="none" w:sz="0" w:space="0" w:color="auto"/>
      </w:divBdr>
    </w:div>
    <w:div w:id="459809456">
      <w:marLeft w:val="0"/>
      <w:marRight w:val="0"/>
      <w:marTop w:val="0"/>
      <w:marBottom w:val="0"/>
      <w:divBdr>
        <w:top w:val="none" w:sz="0" w:space="0" w:color="auto"/>
        <w:left w:val="none" w:sz="0" w:space="0" w:color="auto"/>
        <w:bottom w:val="none" w:sz="0" w:space="0" w:color="auto"/>
        <w:right w:val="none" w:sz="0" w:space="0" w:color="auto"/>
      </w:divBdr>
    </w:div>
    <w:div w:id="469523476">
      <w:marLeft w:val="0"/>
      <w:marRight w:val="0"/>
      <w:marTop w:val="0"/>
      <w:marBottom w:val="0"/>
      <w:divBdr>
        <w:top w:val="none" w:sz="0" w:space="0" w:color="auto"/>
        <w:left w:val="none" w:sz="0" w:space="0" w:color="auto"/>
        <w:bottom w:val="none" w:sz="0" w:space="0" w:color="auto"/>
        <w:right w:val="none" w:sz="0" w:space="0" w:color="auto"/>
      </w:divBdr>
    </w:div>
    <w:div w:id="478570614">
      <w:marLeft w:val="0"/>
      <w:marRight w:val="0"/>
      <w:marTop w:val="0"/>
      <w:marBottom w:val="0"/>
      <w:divBdr>
        <w:top w:val="none" w:sz="0" w:space="0" w:color="auto"/>
        <w:left w:val="none" w:sz="0" w:space="0" w:color="auto"/>
        <w:bottom w:val="none" w:sz="0" w:space="0" w:color="auto"/>
        <w:right w:val="none" w:sz="0" w:space="0" w:color="auto"/>
      </w:divBdr>
      <w:divsChild>
        <w:div w:id="1301034128">
          <w:marLeft w:val="0"/>
          <w:marRight w:val="0"/>
          <w:marTop w:val="0"/>
          <w:marBottom w:val="0"/>
          <w:divBdr>
            <w:top w:val="none" w:sz="0" w:space="0" w:color="auto"/>
            <w:left w:val="none" w:sz="0" w:space="0" w:color="auto"/>
            <w:bottom w:val="none" w:sz="0" w:space="0" w:color="auto"/>
            <w:right w:val="none" w:sz="0" w:space="0" w:color="auto"/>
          </w:divBdr>
        </w:div>
      </w:divsChild>
    </w:div>
    <w:div w:id="486360409">
      <w:marLeft w:val="0"/>
      <w:marRight w:val="0"/>
      <w:marTop w:val="0"/>
      <w:marBottom w:val="0"/>
      <w:divBdr>
        <w:top w:val="none" w:sz="0" w:space="0" w:color="auto"/>
        <w:left w:val="none" w:sz="0" w:space="0" w:color="auto"/>
        <w:bottom w:val="none" w:sz="0" w:space="0" w:color="auto"/>
        <w:right w:val="none" w:sz="0" w:space="0" w:color="auto"/>
      </w:divBdr>
    </w:div>
    <w:div w:id="493761213">
      <w:marLeft w:val="0"/>
      <w:marRight w:val="0"/>
      <w:marTop w:val="0"/>
      <w:marBottom w:val="0"/>
      <w:divBdr>
        <w:top w:val="none" w:sz="0" w:space="0" w:color="auto"/>
        <w:left w:val="none" w:sz="0" w:space="0" w:color="auto"/>
        <w:bottom w:val="none" w:sz="0" w:space="0" w:color="auto"/>
        <w:right w:val="none" w:sz="0" w:space="0" w:color="auto"/>
      </w:divBdr>
    </w:div>
    <w:div w:id="515925671">
      <w:marLeft w:val="0"/>
      <w:marRight w:val="0"/>
      <w:marTop w:val="0"/>
      <w:marBottom w:val="0"/>
      <w:divBdr>
        <w:top w:val="none" w:sz="0" w:space="0" w:color="auto"/>
        <w:left w:val="none" w:sz="0" w:space="0" w:color="auto"/>
        <w:bottom w:val="none" w:sz="0" w:space="0" w:color="auto"/>
        <w:right w:val="none" w:sz="0" w:space="0" w:color="auto"/>
      </w:divBdr>
    </w:div>
    <w:div w:id="523203875">
      <w:marLeft w:val="0"/>
      <w:marRight w:val="0"/>
      <w:marTop w:val="0"/>
      <w:marBottom w:val="0"/>
      <w:divBdr>
        <w:top w:val="none" w:sz="0" w:space="0" w:color="auto"/>
        <w:left w:val="none" w:sz="0" w:space="0" w:color="auto"/>
        <w:bottom w:val="none" w:sz="0" w:space="0" w:color="auto"/>
        <w:right w:val="none" w:sz="0" w:space="0" w:color="auto"/>
      </w:divBdr>
    </w:div>
    <w:div w:id="533924837">
      <w:marLeft w:val="0"/>
      <w:marRight w:val="0"/>
      <w:marTop w:val="0"/>
      <w:marBottom w:val="0"/>
      <w:divBdr>
        <w:top w:val="none" w:sz="0" w:space="0" w:color="auto"/>
        <w:left w:val="none" w:sz="0" w:space="0" w:color="auto"/>
        <w:bottom w:val="none" w:sz="0" w:space="0" w:color="auto"/>
        <w:right w:val="none" w:sz="0" w:space="0" w:color="auto"/>
      </w:divBdr>
    </w:div>
    <w:div w:id="536817040">
      <w:marLeft w:val="0"/>
      <w:marRight w:val="0"/>
      <w:marTop w:val="0"/>
      <w:marBottom w:val="0"/>
      <w:divBdr>
        <w:top w:val="none" w:sz="0" w:space="0" w:color="auto"/>
        <w:left w:val="none" w:sz="0" w:space="0" w:color="auto"/>
        <w:bottom w:val="none" w:sz="0" w:space="0" w:color="auto"/>
        <w:right w:val="none" w:sz="0" w:space="0" w:color="auto"/>
      </w:divBdr>
    </w:div>
    <w:div w:id="539128005">
      <w:bodyDiv w:val="1"/>
      <w:marLeft w:val="0"/>
      <w:marRight w:val="0"/>
      <w:marTop w:val="0"/>
      <w:marBottom w:val="0"/>
      <w:divBdr>
        <w:top w:val="none" w:sz="0" w:space="0" w:color="auto"/>
        <w:left w:val="none" w:sz="0" w:space="0" w:color="auto"/>
        <w:bottom w:val="none" w:sz="0" w:space="0" w:color="auto"/>
        <w:right w:val="none" w:sz="0" w:space="0" w:color="auto"/>
      </w:divBdr>
    </w:div>
    <w:div w:id="547642680">
      <w:marLeft w:val="0"/>
      <w:marRight w:val="0"/>
      <w:marTop w:val="0"/>
      <w:marBottom w:val="0"/>
      <w:divBdr>
        <w:top w:val="none" w:sz="0" w:space="0" w:color="auto"/>
        <w:left w:val="none" w:sz="0" w:space="0" w:color="auto"/>
        <w:bottom w:val="none" w:sz="0" w:space="0" w:color="auto"/>
        <w:right w:val="none" w:sz="0" w:space="0" w:color="auto"/>
      </w:divBdr>
    </w:div>
    <w:div w:id="554587269">
      <w:marLeft w:val="0"/>
      <w:marRight w:val="0"/>
      <w:marTop w:val="0"/>
      <w:marBottom w:val="0"/>
      <w:divBdr>
        <w:top w:val="none" w:sz="0" w:space="0" w:color="auto"/>
        <w:left w:val="none" w:sz="0" w:space="0" w:color="auto"/>
        <w:bottom w:val="none" w:sz="0" w:space="0" w:color="auto"/>
        <w:right w:val="none" w:sz="0" w:space="0" w:color="auto"/>
      </w:divBdr>
    </w:div>
    <w:div w:id="564877337">
      <w:marLeft w:val="0"/>
      <w:marRight w:val="0"/>
      <w:marTop w:val="0"/>
      <w:marBottom w:val="0"/>
      <w:divBdr>
        <w:top w:val="none" w:sz="0" w:space="0" w:color="auto"/>
        <w:left w:val="none" w:sz="0" w:space="0" w:color="auto"/>
        <w:bottom w:val="none" w:sz="0" w:space="0" w:color="auto"/>
        <w:right w:val="none" w:sz="0" w:space="0" w:color="auto"/>
      </w:divBdr>
    </w:div>
    <w:div w:id="566915883">
      <w:marLeft w:val="0"/>
      <w:marRight w:val="0"/>
      <w:marTop w:val="0"/>
      <w:marBottom w:val="0"/>
      <w:divBdr>
        <w:top w:val="none" w:sz="0" w:space="0" w:color="auto"/>
        <w:left w:val="none" w:sz="0" w:space="0" w:color="auto"/>
        <w:bottom w:val="none" w:sz="0" w:space="0" w:color="auto"/>
        <w:right w:val="none" w:sz="0" w:space="0" w:color="auto"/>
      </w:divBdr>
      <w:divsChild>
        <w:div w:id="2109809734">
          <w:marLeft w:val="0"/>
          <w:marRight w:val="0"/>
          <w:marTop w:val="0"/>
          <w:marBottom w:val="0"/>
          <w:divBdr>
            <w:top w:val="none" w:sz="0" w:space="0" w:color="auto"/>
            <w:left w:val="none" w:sz="0" w:space="0" w:color="auto"/>
            <w:bottom w:val="none" w:sz="0" w:space="0" w:color="auto"/>
            <w:right w:val="none" w:sz="0" w:space="0" w:color="auto"/>
          </w:divBdr>
        </w:div>
      </w:divsChild>
    </w:div>
    <w:div w:id="573013148">
      <w:marLeft w:val="0"/>
      <w:marRight w:val="0"/>
      <w:marTop w:val="0"/>
      <w:marBottom w:val="0"/>
      <w:divBdr>
        <w:top w:val="none" w:sz="0" w:space="0" w:color="auto"/>
        <w:left w:val="none" w:sz="0" w:space="0" w:color="auto"/>
        <w:bottom w:val="none" w:sz="0" w:space="0" w:color="auto"/>
        <w:right w:val="none" w:sz="0" w:space="0" w:color="auto"/>
      </w:divBdr>
    </w:div>
    <w:div w:id="576478296">
      <w:marLeft w:val="0"/>
      <w:marRight w:val="0"/>
      <w:marTop w:val="0"/>
      <w:marBottom w:val="0"/>
      <w:divBdr>
        <w:top w:val="none" w:sz="0" w:space="0" w:color="auto"/>
        <w:left w:val="none" w:sz="0" w:space="0" w:color="auto"/>
        <w:bottom w:val="none" w:sz="0" w:space="0" w:color="auto"/>
        <w:right w:val="none" w:sz="0" w:space="0" w:color="auto"/>
      </w:divBdr>
    </w:div>
    <w:div w:id="585454850">
      <w:marLeft w:val="0"/>
      <w:marRight w:val="0"/>
      <w:marTop w:val="0"/>
      <w:marBottom w:val="0"/>
      <w:divBdr>
        <w:top w:val="none" w:sz="0" w:space="0" w:color="auto"/>
        <w:left w:val="none" w:sz="0" w:space="0" w:color="auto"/>
        <w:bottom w:val="none" w:sz="0" w:space="0" w:color="auto"/>
        <w:right w:val="none" w:sz="0" w:space="0" w:color="auto"/>
      </w:divBdr>
    </w:div>
    <w:div w:id="593439116">
      <w:marLeft w:val="0"/>
      <w:marRight w:val="0"/>
      <w:marTop w:val="0"/>
      <w:marBottom w:val="0"/>
      <w:divBdr>
        <w:top w:val="none" w:sz="0" w:space="0" w:color="auto"/>
        <w:left w:val="none" w:sz="0" w:space="0" w:color="auto"/>
        <w:bottom w:val="none" w:sz="0" w:space="0" w:color="auto"/>
        <w:right w:val="none" w:sz="0" w:space="0" w:color="auto"/>
      </w:divBdr>
      <w:divsChild>
        <w:div w:id="53163903">
          <w:marLeft w:val="0"/>
          <w:marRight w:val="0"/>
          <w:marTop w:val="0"/>
          <w:marBottom w:val="0"/>
          <w:divBdr>
            <w:top w:val="none" w:sz="0" w:space="0" w:color="auto"/>
            <w:left w:val="none" w:sz="0" w:space="0" w:color="auto"/>
            <w:bottom w:val="none" w:sz="0" w:space="0" w:color="auto"/>
            <w:right w:val="none" w:sz="0" w:space="0" w:color="auto"/>
          </w:divBdr>
        </w:div>
      </w:divsChild>
    </w:div>
    <w:div w:id="594943295">
      <w:marLeft w:val="0"/>
      <w:marRight w:val="0"/>
      <w:marTop w:val="0"/>
      <w:marBottom w:val="0"/>
      <w:divBdr>
        <w:top w:val="none" w:sz="0" w:space="0" w:color="auto"/>
        <w:left w:val="none" w:sz="0" w:space="0" w:color="auto"/>
        <w:bottom w:val="none" w:sz="0" w:space="0" w:color="auto"/>
        <w:right w:val="none" w:sz="0" w:space="0" w:color="auto"/>
      </w:divBdr>
      <w:divsChild>
        <w:div w:id="1493259267">
          <w:marLeft w:val="0"/>
          <w:marRight w:val="0"/>
          <w:marTop w:val="0"/>
          <w:marBottom w:val="0"/>
          <w:divBdr>
            <w:top w:val="none" w:sz="0" w:space="0" w:color="auto"/>
            <w:left w:val="none" w:sz="0" w:space="0" w:color="auto"/>
            <w:bottom w:val="none" w:sz="0" w:space="0" w:color="auto"/>
            <w:right w:val="none" w:sz="0" w:space="0" w:color="auto"/>
          </w:divBdr>
        </w:div>
      </w:divsChild>
    </w:div>
    <w:div w:id="595477543">
      <w:bodyDiv w:val="1"/>
      <w:marLeft w:val="0"/>
      <w:marRight w:val="0"/>
      <w:marTop w:val="0"/>
      <w:marBottom w:val="0"/>
      <w:divBdr>
        <w:top w:val="none" w:sz="0" w:space="0" w:color="auto"/>
        <w:left w:val="none" w:sz="0" w:space="0" w:color="auto"/>
        <w:bottom w:val="none" w:sz="0" w:space="0" w:color="auto"/>
        <w:right w:val="none" w:sz="0" w:space="0" w:color="auto"/>
      </w:divBdr>
    </w:div>
    <w:div w:id="598224885">
      <w:marLeft w:val="0"/>
      <w:marRight w:val="0"/>
      <w:marTop w:val="0"/>
      <w:marBottom w:val="0"/>
      <w:divBdr>
        <w:top w:val="none" w:sz="0" w:space="0" w:color="auto"/>
        <w:left w:val="none" w:sz="0" w:space="0" w:color="auto"/>
        <w:bottom w:val="none" w:sz="0" w:space="0" w:color="auto"/>
        <w:right w:val="none" w:sz="0" w:space="0" w:color="auto"/>
      </w:divBdr>
    </w:div>
    <w:div w:id="598834409">
      <w:marLeft w:val="0"/>
      <w:marRight w:val="0"/>
      <w:marTop w:val="0"/>
      <w:marBottom w:val="0"/>
      <w:divBdr>
        <w:top w:val="none" w:sz="0" w:space="0" w:color="auto"/>
        <w:left w:val="none" w:sz="0" w:space="0" w:color="auto"/>
        <w:bottom w:val="none" w:sz="0" w:space="0" w:color="auto"/>
        <w:right w:val="none" w:sz="0" w:space="0" w:color="auto"/>
      </w:divBdr>
    </w:div>
    <w:div w:id="607545202">
      <w:marLeft w:val="0"/>
      <w:marRight w:val="0"/>
      <w:marTop w:val="0"/>
      <w:marBottom w:val="0"/>
      <w:divBdr>
        <w:top w:val="none" w:sz="0" w:space="0" w:color="auto"/>
        <w:left w:val="none" w:sz="0" w:space="0" w:color="auto"/>
        <w:bottom w:val="none" w:sz="0" w:space="0" w:color="auto"/>
        <w:right w:val="none" w:sz="0" w:space="0" w:color="auto"/>
      </w:divBdr>
      <w:divsChild>
        <w:div w:id="892499764">
          <w:marLeft w:val="0"/>
          <w:marRight w:val="0"/>
          <w:marTop w:val="0"/>
          <w:marBottom w:val="0"/>
          <w:divBdr>
            <w:top w:val="none" w:sz="0" w:space="0" w:color="auto"/>
            <w:left w:val="none" w:sz="0" w:space="0" w:color="auto"/>
            <w:bottom w:val="none" w:sz="0" w:space="0" w:color="auto"/>
            <w:right w:val="none" w:sz="0" w:space="0" w:color="auto"/>
          </w:divBdr>
        </w:div>
      </w:divsChild>
    </w:div>
    <w:div w:id="609551001">
      <w:marLeft w:val="0"/>
      <w:marRight w:val="0"/>
      <w:marTop w:val="0"/>
      <w:marBottom w:val="0"/>
      <w:divBdr>
        <w:top w:val="none" w:sz="0" w:space="0" w:color="auto"/>
        <w:left w:val="none" w:sz="0" w:space="0" w:color="auto"/>
        <w:bottom w:val="none" w:sz="0" w:space="0" w:color="auto"/>
        <w:right w:val="none" w:sz="0" w:space="0" w:color="auto"/>
      </w:divBdr>
    </w:div>
    <w:div w:id="615910340">
      <w:marLeft w:val="0"/>
      <w:marRight w:val="0"/>
      <w:marTop w:val="0"/>
      <w:marBottom w:val="0"/>
      <w:divBdr>
        <w:top w:val="none" w:sz="0" w:space="0" w:color="auto"/>
        <w:left w:val="none" w:sz="0" w:space="0" w:color="auto"/>
        <w:bottom w:val="none" w:sz="0" w:space="0" w:color="auto"/>
        <w:right w:val="none" w:sz="0" w:space="0" w:color="auto"/>
      </w:divBdr>
    </w:div>
    <w:div w:id="616762783">
      <w:marLeft w:val="0"/>
      <w:marRight w:val="0"/>
      <w:marTop w:val="0"/>
      <w:marBottom w:val="0"/>
      <w:divBdr>
        <w:top w:val="none" w:sz="0" w:space="0" w:color="auto"/>
        <w:left w:val="none" w:sz="0" w:space="0" w:color="auto"/>
        <w:bottom w:val="none" w:sz="0" w:space="0" w:color="auto"/>
        <w:right w:val="none" w:sz="0" w:space="0" w:color="auto"/>
      </w:divBdr>
    </w:div>
    <w:div w:id="617835171">
      <w:marLeft w:val="0"/>
      <w:marRight w:val="0"/>
      <w:marTop w:val="0"/>
      <w:marBottom w:val="0"/>
      <w:divBdr>
        <w:top w:val="none" w:sz="0" w:space="0" w:color="auto"/>
        <w:left w:val="none" w:sz="0" w:space="0" w:color="auto"/>
        <w:bottom w:val="none" w:sz="0" w:space="0" w:color="auto"/>
        <w:right w:val="none" w:sz="0" w:space="0" w:color="auto"/>
      </w:divBdr>
    </w:div>
    <w:div w:id="621351093">
      <w:marLeft w:val="0"/>
      <w:marRight w:val="0"/>
      <w:marTop w:val="0"/>
      <w:marBottom w:val="0"/>
      <w:divBdr>
        <w:top w:val="none" w:sz="0" w:space="0" w:color="auto"/>
        <w:left w:val="none" w:sz="0" w:space="0" w:color="auto"/>
        <w:bottom w:val="none" w:sz="0" w:space="0" w:color="auto"/>
        <w:right w:val="none" w:sz="0" w:space="0" w:color="auto"/>
      </w:divBdr>
    </w:div>
    <w:div w:id="622151346">
      <w:marLeft w:val="0"/>
      <w:marRight w:val="0"/>
      <w:marTop w:val="0"/>
      <w:marBottom w:val="0"/>
      <w:divBdr>
        <w:top w:val="none" w:sz="0" w:space="0" w:color="auto"/>
        <w:left w:val="none" w:sz="0" w:space="0" w:color="auto"/>
        <w:bottom w:val="none" w:sz="0" w:space="0" w:color="auto"/>
        <w:right w:val="none" w:sz="0" w:space="0" w:color="auto"/>
      </w:divBdr>
    </w:div>
    <w:div w:id="631787852">
      <w:bodyDiv w:val="1"/>
      <w:marLeft w:val="0"/>
      <w:marRight w:val="0"/>
      <w:marTop w:val="0"/>
      <w:marBottom w:val="0"/>
      <w:divBdr>
        <w:top w:val="none" w:sz="0" w:space="0" w:color="auto"/>
        <w:left w:val="none" w:sz="0" w:space="0" w:color="auto"/>
        <w:bottom w:val="none" w:sz="0" w:space="0" w:color="auto"/>
        <w:right w:val="none" w:sz="0" w:space="0" w:color="auto"/>
      </w:divBdr>
    </w:div>
    <w:div w:id="634915634">
      <w:marLeft w:val="0"/>
      <w:marRight w:val="0"/>
      <w:marTop w:val="0"/>
      <w:marBottom w:val="0"/>
      <w:divBdr>
        <w:top w:val="none" w:sz="0" w:space="0" w:color="auto"/>
        <w:left w:val="none" w:sz="0" w:space="0" w:color="auto"/>
        <w:bottom w:val="none" w:sz="0" w:space="0" w:color="auto"/>
        <w:right w:val="none" w:sz="0" w:space="0" w:color="auto"/>
      </w:divBdr>
    </w:div>
    <w:div w:id="640765898">
      <w:marLeft w:val="0"/>
      <w:marRight w:val="0"/>
      <w:marTop w:val="0"/>
      <w:marBottom w:val="0"/>
      <w:divBdr>
        <w:top w:val="none" w:sz="0" w:space="0" w:color="auto"/>
        <w:left w:val="none" w:sz="0" w:space="0" w:color="auto"/>
        <w:bottom w:val="none" w:sz="0" w:space="0" w:color="auto"/>
        <w:right w:val="none" w:sz="0" w:space="0" w:color="auto"/>
      </w:divBdr>
    </w:div>
    <w:div w:id="643317541">
      <w:marLeft w:val="0"/>
      <w:marRight w:val="0"/>
      <w:marTop w:val="0"/>
      <w:marBottom w:val="0"/>
      <w:divBdr>
        <w:top w:val="none" w:sz="0" w:space="0" w:color="auto"/>
        <w:left w:val="none" w:sz="0" w:space="0" w:color="auto"/>
        <w:bottom w:val="none" w:sz="0" w:space="0" w:color="auto"/>
        <w:right w:val="none" w:sz="0" w:space="0" w:color="auto"/>
      </w:divBdr>
    </w:div>
    <w:div w:id="667053278">
      <w:marLeft w:val="0"/>
      <w:marRight w:val="0"/>
      <w:marTop w:val="0"/>
      <w:marBottom w:val="0"/>
      <w:divBdr>
        <w:top w:val="none" w:sz="0" w:space="0" w:color="auto"/>
        <w:left w:val="none" w:sz="0" w:space="0" w:color="auto"/>
        <w:bottom w:val="none" w:sz="0" w:space="0" w:color="auto"/>
        <w:right w:val="none" w:sz="0" w:space="0" w:color="auto"/>
      </w:divBdr>
    </w:div>
    <w:div w:id="678964102">
      <w:marLeft w:val="0"/>
      <w:marRight w:val="0"/>
      <w:marTop w:val="0"/>
      <w:marBottom w:val="0"/>
      <w:divBdr>
        <w:top w:val="none" w:sz="0" w:space="0" w:color="auto"/>
        <w:left w:val="none" w:sz="0" w:space="0" w:color="auto"/>
        <w:bottom w:val="none" w:sz="0" w:space="0" w:color="auto"/>
        <w:right w:val="none" w:sz="0" w:space="0" w:color="auto"/>
      </w:divBdr>
    </w:div>
    <w:div w:id="685256450">
      <w:marLeft w:val="0"/>
      <w:marRight w:val="0"/>
      <w:marTop w:val="0"/>
      <w:marBottom w:val="0"/>
      <w:divBdr>
        <w:top w:val="none" w:sz="0" w:space="0" w:color="auto"/>
        <w:left w:val="none" w:sz="0" w:space="0" w:color="auto"/>
        <w:bottom w:val="none" w:sz="0" w:space="0" w:color="auto"/>
        <w:right w:val="none" w:sz="0" w:space="0" w:color="auto"/>
      </w:divBdr>
    </w:div>
    <w:div w:id="688415063">
      <w:marLeft w:val="0"/>
      <w:marRight w:val="0"/>
      <w:marTop w:val="0"/>
      <w:marBottom w:val="0"/>
      <w:divBdr>
        <w:top w:val="none" w:sz="0" w:space="0" w:color="auto"/>
        <w:left w:val="none" w:sz="0" w:space="0" w:color="auto"/>
        <w:bottom w:val="none" w:sz="0" w:space="0" w:color="auto"/>
        <w:right w:val="none" w:sz="0" w:space="0" w:color="auto"/>
      </w:divBdr>
    </w:div>
    <w:div w:id="692540388">
      <w:marLeft w:val="0"/>
      <w:marRight w:val="0"/>
      <w:marTop w:val="0"/>
      <w:marBottom w:val="0"/>
      <w:divBdr>
        <w:top w:val="none" w:sz="0" w:space="0" w:color="auto"/>
        <w:left w:val="none" w:sz="0" w:space="0" w:color="auto"/>
        <w:bottom w:val="none" w:sz="0" w:space="0" w:color="auto"/>
        <w:right w:val="none" w:sz="0" w:space="0" w:color="auto"/>
      </w:divBdr>
    </w:div>
    <w:div w:id="701979172">
      <w:marLeft w:val="0"/>
      <w:marRight w:val="0"/>
      <w:marTop w:val="0"/>
      <w:marBottom w:val="0"/>
      <w:divBdr>
        <w:top w:val="none" w:sz="0" w:space="0" w:color="auto"/>
        <w:left w:val="none" w:sz="0" w:space="0" w:color="auto"/>
        <w:bottom w:val="none" w:sz="0" w:space="0" w:color="auto"/>
        <w:right w:val="none" w:sz="0" w:space="0" w:color="auto"/>
      </w:divBdr>
    </w:div>
    <w:div w:id="710108676">
      <w:marLeft w:val="0"/>
      <w:marRight w:val="0"/>
      <w:marTop w:val="0"/>
      <w:marBottom w:val="0"/>
      <w:divBdr>
        <w:top w:val="none" w:sz="0" w:space="0" w:color="auto"/>
        <w:left w:val="none" w:sz="0" w:space="0" w:color="auto"/>
        <w:bottom w:val="none" w:sz="0" w:space="0" w:color="auto"/>
        <w:right w:val="none" w:sz="0" w:space="0" w:color="auto"/>
      </w:divBdr>
    </w:div>
    <w:div w:id="712192089">
      <w:bodyDiv w:val="1"/>
      <w:marLeft w:val="0"/>
      <w:marRight w:val="0"/>
      <w:marTop w:val="0"/>
      <w:marBottom w:val="0"/>
      <w:divBdr>
        <w:top w:val="none" w:sz="0" w:space="0" w:color="auto"/>
        <w:left w:val="none" w:sz="0" w:space="0" w:color="auto"/>
        <w:bottom w:val="none" w:sz="0" w:space="0" w:color="auto"/>
        <w:right w:val="none" w:sz="0" w:space="0" w:color="auto"/>
      </w:divBdr>
      <w:divsChild>
        <w:div w:id="162670012">
          <w:marLeft w:val="0"/>
          <w:marRight w:val="0"/>
          <w:marTop w:val="0"/>
          <w:marBottom w:val="0"/>
          <w:divBdr>
            <w:top w:val="none" w:sz="0" w:space="0" w:color="auto"/>
            <w:left w:val="none" w:sz="0" w:space="0" w:color="auto"/>
            <w:bottom w:val="none" w:sz="0" w:space="0" w:color="auto"/>
            <w:right w:val="none" w:sz="0" w:space="0" w:color="auto"/>
          </w:divBdr>
          <w:divsChild>
            <w:div w:id="114539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834920">
      <w:marLeft w:val="0"/>
      <w:marRight w:val="0"/>
      <w:marTop w:val="0"/>
      <w:marBottom w:val="0"/>
      <w:divBdr>
        <w:top w:val="none" w:sz="0" w:space="0" w:color="auto"/>
        <w:left w:val="none" w:sz="0" w:space="0" w:color="auto"/>
        <w:bottom w:val="none" w:sz="0" w:space="0" w:color="auto"/>
        <w:right w:val="none" w:sz="0" w:space="0" w:color="auto"/>
      </w:divBdr>
    </w:div>
    <w:div w:id="727924759">
      <w:marLeft w:val="0"/>
      <w:marRight w:val="0"/>
      <w:marTop w:val="0"/>
      <w:marBottom w:val="0"/>
      <w:divBdr>
        <w:top w:val="none" w:sz="0" w:space="0" w:color="auto"/>
        <w:left w:val="none" w:sz="0" w:space="0" w:color="auto"/>
        <w:bottom w:val="none" w:sz="0" w:space="0" w:color="auto"/>
        <w:right w:val="none" w:sz="0" w:space="0" w:color="auto"/>
      </w:divBdr>
    </w:div>
    <w:div w:id="736127768">
      <w:marLeft w:val="0"/>
      <w:marRight w:val="0"/>
      <w:marTop w:val="0"/>
      <w:marBottom w:val="0"/>
      <w:divBdr>
        <w:top w:val="none" w:sz="0" w:space="0" w:color="auto"/>
        <w:left w:val="none" w:sz="0" w:space="0" w:color="auto"/>
        <w:bottom w:val="none" w:sz="0" w:space="0" w:color="auto"/>
        <w:right w:val="none" w:sz="0" w:space="0" w:color="auto"/>
      </w:divBdr>
      <w:divsChild>
        <w:div w:id="687369675">
          <w:marLeft w:val="0"/>
          <w:marRight w:val="0"/>
          <w:marTop w:val="0"/>
          <w:marBottom w:val="0"/>
          <w:divBdr>
            <w:top w:val="none" w:sz="0" w:space="0" w:color="auto"/>
            <w:left w:val="none" w:sz="0" w:space="0" w:color="auto"/>
            <w:bottom w:val="none" w:sz="0" w:space="0" w:color="auto"/>
            <w:right w:val="none" w:sz="0" w:space="0" w:color="auto"/>
          </w:divBdr>
        </w:div>
      </w:divsChild>
    </w:div>
    <w:div w:id="740951408">
      <w:marLeft w:val="0"/>
      <w:marRight w:val="0"/>
      <w:marTop w:val="0"/>
      <w:marBottom w:val="0"/>
      <w:divBdr>
        <w:top w:val="none" w:sz="0" w:space="0" w:color="auto"/>
        <w:left w:val="none" w:sz="0" w:space="0" w:color="auto"/>
        <w:bottom w:val="none" w:sz="0" w:space="0" w:color="auto"/>
        <w:right w:val="none" w:sz="0" w:space="0" w:color="auto"/>
      </w:divBdr>
    </w:div>
    <w:div w:id="744955330">
      <w:marLeft w:val="0"/>
      <w:marRight w:val="0"/>
      <w:marTop w:val="0"/>
      <w:marBottom w:val="0"/>
      <w:divBdr>
        <w:top w:val="none" w:sz="0" w:space="0" w:color="auto"/>
        <w:left w:val="none" w:sz="0" w:space="0" w:color="auto"/>
        <w:bottom w:val="none" w:sz="0" w:space="0" w:color="auto"/>
        <w:right w:val="none" w:sz="0" w:space="0" w:color="auto"/>
      </w:divBdr>
      <w:divsChild>
        <w:div w:id="1770006055">
          <w:marLeft w:val="0"/>
          <w:marRight w:val="0"/>
          <w:marTop w:val="0"/>
          <w:marBottom w:val="0"/>
          <w:divBdr>
            <w:top w:val="none" w:sz="0" w:space="0" w:color="auto"/>
            <w:left w:val="none" w:sz="0" w:space="0" w:color="auto"/>
            <w:bottom w:val="none" w:sz="0" w:space="0" w:color="auto"/>
            <w:right w:val="none" w:sz="0" w:space="0" w:color="auto"/>
          </w:divBdr>
        </w:div>
      </w:divsChild>
    </w:div>
    <w:div w:id="752239278">
      <w:marLeft w:val="0"/>
      <w:marRight w:val="0"/>
      <w:marTop w:val="0"/>
      <w:marBottom w:val="0"/>
      <w:divBdr>
        <w:top w:val="none" w:sz="0" w:space="0" w:color="auto"/>
        <w:left w:val="none" w:sz="0" w:space="0" w:color="auto"/>
        <w:bottom w:val="none" w:sz="0" w:space="0" w:color="auto"/>
        <w:right w:val="none" w:sz="0" w:space="0" w:color="auto"/>
      </w:divBdr>
    </w:div>
    <w:div w:id="756943067">
      <w:marLeft w:val="0"/>
      <w:marRight w:val="0"/>
      <w:marTop w:val="0"/>
      <w:marBottom w:val="0"/>
      <w:divBdr>
        <w:top w:val="none" w:sz="0" w:space="0" w:color="auto"/>
        <w:left w:val="none" w:sz="0" w:space="0" w:color="auto"/>
        <w:bottom w:val="none" w:sz="0" w:space="0" w:color="auto"/>
        <w:right w:val="none" w:sz="0" w:space="0" w:color="auto"/>
      </w:divBdr>
      <w:divsChild>
        <w:div w:id="1523470713">
          <w:marLeft w:val="0"/>
          <w:marRight w:val="0"/>
          <w:marTop w:val="0"/>
          <w:marBottom w:val="0"/>
          <w:divBdr>
            <w:top w:val="none" w:sz="0" w:space="0" w:color="auto"/>
            <w:left w:val="none" w:sz="0" w:space="0" w:color="auto"/>
            <w:bottom w:val="none" w:sz="0" w:space="0" w:color="auto"/>
            <w:right w:val="none" w:sz="0" w:space="0" w:color="auto"/>
          </w:divBdr>
        </w:div>
      </w:divsChild>
    </w:div>
    <w:div w:id="762919922">
      <w:marLeft w:val="0"/>
      <w:marRight w:val="0"/>
      <w:marTop w:val="0"/>
      <w:marBottom w:val="0"/>
      <w:divBdr>
        <w:top w:val="none" w:sz="0" w:space="0" w:color="auto"/>
        <w:left w:val="none" w:sz="0" w:space="0" w:color="auto"/>
        <w:bottom w:val="none" w:sz="0" w:space="0" w:color="auto"/>
        <w:right w:val="none" w:sz="0" w:space="0" w:color="auto"/>
      </w:divBdr>
    </w:div>
    <w:div w:id="765081403">
      <w:marLeft w:val="0"/>
      <w:marRight w:val="0"/>
      <w:marTop w:val="0"/>
      <w:marBottom w:val="0"/>
      <w:divBdr>
        <w:top w:val="none" w:sz="0" w:space="0" w:color="auto"/>
        <w:left w:val="none" w:sz="0" w:space="0" w:color="auto"/>
        <w:bottom w:val="none" w:sz="0" w:space="0" w:color="auto"/>
        <w:right w:val="none" w:sz="0" w:space="0" w:color="auto"/>
      </w:divBdr>
    </w:div>
    <w:div w:id="768818197">
      <w:bodyDiv w:val="1"/>
      <w:marLeft w:val="0"/>
      <w:marRight w:val="0"/>
      <w:marTop w:val="0"/>
      <w:marBottom w:val="0"/>
      <w:divBdr>
        <w:top w:val="none" w:sz="0" w:space="0" w:color="auto"/>
        <w:left w:val="none" w:sz="0" w:space="0" w:color="auto"/>
        <w:bottom w:val="none" w:sz="0" w:space="0" w:color="auto"/>
        <w:right w:val="none" w:sz="0" w:space="0" w:color="auto"/>
      </w:divBdr>
    </w:div>
    <w:div w:id="772356268">
      <w:bodyDiv w:val="1"/>
      <w:marLeft w:val="0"/>
      <w:marRight w:val="0"/>
      <w:marTop w:val="0"/>
      <w:marBottom w:val="0"/>
      <w:divBdr>
        <w:top w:val="none" w:sz="0" w:space="0" w:color="auto"/>
        <w:left w:val="none" w:sz="0" w:space="0" w:color="auto"/>
        <w:bottom w:val="none" w:sz="0" w:space="0" w:color="auto"/>
        <w:right w:val="none" w:sz="0" w:space="0" w:color="auto"/>
      </w:divBdr>
    </w:div>
    <w:div w:id="772627381">
      <w:marLeft w:val="0"/>
      <w:marRight w:val="0"/>
      <w:marTop w:val="0"/>
      <w:marBottom w:val="0"/>
      <w:divBdr>
        <w:top w:val="none" w:sz="0" w:space="0" w:color="auto"/>
        <w:left w:val="none" w:sz="0" w:space="0" w:color="auto"/>
        <w:bottom w:val="none" w:sz="0" w:space="0" w:color="auto"/>
        <w:right w:val="none" w:sz="0" w:space="0" w:color="auto"/>
      </w:divBdr>
    </w:div>
    <w:div w:id="789710312">
      <w:marLeft w:val="0"/>
      <w:marRight w:val="0"/>
      <w:marTop w:val="0"/>
      <w:marBottom w:val="0"/>
      <w:divBdr>
        <w:top w:val="none" w:sz="0" w:space="0" w:color="auto"/>
        <w:left w:val="none" w:sz="0" w:space="0" w:color="auto"/>
        <w:bottom w:val="none" w:sz="0" w:space="0" w:color="auto"/>
        <w:right w:val="none" w:sz="0" w:space="0" w:color="auto"/>
      </w:divBdr>
    </w:div>
    <w:div w:id="801460711">
      <w:marLeft w:val="0"/>
      <w:marRight w:val="0"/>
      <w:marTop w:val="0"/>
      <w:marBottom w:val="0"/>
      <w:divBdr>
        <w:top w:val="none" w:sz="0" w:space="0" w:color="auto"/>
        <w:left w:val="none" w:sz="0" w:space="0" w:color="auto"/>
        <w:bottom w:val="none" w:sz="0" w:space="0" w:color="auto"/>
        <w:right w:val="none" w:sz="0" w:space="0" w:color="auto"/>
      </w:divBdr>
    </w:div>
    <w:div w:id="833225186">
      <w:bodyDiv w:val="1"/>
      <w:marLeft w:val="0"/>
      <w:marRight w:val="0"/>
      <w:marTop w:val="0"/>
      <w:marBottom w:val="0"/>
      <w:divBdr>
        <w:top w:val="none" w:sz="0" w:space="0" w:color="auto"/>
        <w:left w:val="none" w:sz="0" w:space="0" w:color="auto"/>
        <w:bottom w:val="none" w:sz="0" w:space="0" w:color="auto"/>
        <w:right w:val="none" w:sz="0" w:space="0" w:color="auto"/>
      </w:divBdr>
    </w:div>
    <w:div w:id="851143960">
      <w:marLeft w:val="0"/>
      <w:marRight w:val="0"/>
      <w:marTop w:val="0"/>
      <w:marBottom w:val="0"/>
      <w:divBdr>
        <w:top w:val="none" w:sz="0" w:space="0" w:color="auto"/>
        <w:left w:val="none" w:sz="0" w:space="0" w:color="auto"/>
        <w:bottom w:val="none" w:sz="0" w:space="0" w:color="auto"/>
        <w:right w:val="none" w:sz="0" w:space="0" w:color="auto"/>
      </w:divBdr>
    </w:div>
    <w:div w:id="858933208">
      <w:marLeft w:val="0"/>
      <w:marRight w:val="0"/>
      <w:marTop w:val="0"/>
      <w:marBottom w:val="0"/>
      <w:divBdr>
        <w:top w:val="none" w:sz="0" w:space="0" w:color="auto"/>
        <w:left w:val="none" w:sz="0" w:space="0" w:color="auto"/>
        <w:bottom w:val="none" w:sz="0" w:space="0" w:color="auto"/>
        <w:right w:val="none" w:sz="0" w:space="0" w:color="auto"/>
      </w:divBdr>
    </w:div>
    <w:div w:id="876770221">
      <w:marLeft w:val="0"/>
      <w:marRight w:val="0"/>
      <w:marTop w:val="0"/>
      <w:marBottom w:val="0"/>
      <w:divBdr>
        <w:top w:val="none" w:sz="0" w:space="0" w:color="auto"/>
        <w:left w:val="none" w:sz="0" w:space="0" w:color="auto"/>
        <w:bottom w:val="none" w:sz="0" w:space="0" w:color="auto"/>
        <w:right w:val="none" w:sz="0" w:space="0" w:color="auto"/>
      </w:divBdr>
      <w:divsChild>
        <w:div w:id="1683193322">
          <w:marLeft w:val="0"/>
          <w:marRight w:val="0"/>
          <w:marTop w:val="0"/>
          <w:marBottom w:val="0"/>
          <w:divBdr>
            <w:top w:val="none" w:sz="0" w:space="0" w:color="auto"/>
            <w:left w:val="none" w:sz="0" w:space="0" w:color="auto"/>
            <w:bottom w:val="none" w:sz="0" w:space="0" w:color="auto"/>
            <w:right w:val="none" w:sz="0" w:space="0" w:color="auto"/>
          </w:divBdr>
        </w:div>
      </w:divsChild>
    </w:div>
    <w:div w:id="888107302">
      <w:bodyDiv w:val="1"/>
      <w:marLeft w:val="0"/>
      <w:marRight w:val="0"/>
      <w:marTop w:val="0"/>
      <w:marBottom w:val="0"/>
      <w:divBdr>
        <w:top w:val="none" w:sz="0" w:space="0" w:color="auto"/>
        <w:left w:val="none" w:sz="0" w:space="0" w:color="auto"/>
        <w:bottom w:val="none" w:sz="0" w:space="0" w:color="auto"/>
        <w:right w:val="none" w:sz="0" w:space="0" w:color="auto"/>
      </w:divBdr>
    </w:div>
    <w:div w:id="898634489">
      <w:marLeft w:val="0"/>
      <w:marRight w:val="0"/>
      <w:marTop w:val="0"/>
      <w:marBottom w:val="0"/>
      <w:divBdr>
        <w:top w:val="none" w:sz="0" w:space="0" w:color="auto"/>
        <w:left w:val="none" w:sz="0" w:space="0" w:color="auto"/>
        <w:bottom w:val="none" w:sz="0" w:space="0" w:color="auto"/>
        <w:right w:val="none" w:sz="0" w:space="0" w:color="auto"/>
      </w:divBdr>
    </w:div>
    <w:div w:id="912281742">
      <w:marLeft w:val="0"/>
      <w:marRight w:val="0"/>
      <w:marTop w:val="0"/>
      <w:marBottom w:val="0"/>
      <w:divBdr>
        <w:top w:val="none" w:sz="0" w:space="0" w:color="auto"/>
        <w:left w:val="none" w:sz="0" w:space="0" w:color="auto"/>
        <w:bottom w:val="none" w:sz="0" w:space="0" w:color="auto"/>
        <w:right w:val="none" w:sz="0" w:space="0" w:color="auto"/>
      </w:divBdr>
    </w:div>
    <w:div w:id="912930527">
      <w:marLeft w:val="0"/>
      <w:marRight w:val="0"/>
      <w:marTop w:val="0"/>
      <w:marBottom w:val="0"/>
      <w:divBdr>
        <w:top w:val="none" w:sz="0" w:space="0" w:color="auto"/>
        <w:left w:val="none" w:sz="0" w:space="0" w:color="auto"/>
        <w:bottom w:val="none" w:sz="0" w:space="0" w:color="auto"/>
        <w:right w:val="none" w:sz="0" w:space="0" w:color="auto"/>
      </w:divBdr>
      <w:divsChild>
        <w:div w:id="1190532366">
          <w:marLeft w:val="0"/>
          <w:marRight w:val="0"/>
          <w:marTop w:val="0"/>
          <w:marBottom w:val="0"/>
          <w:divBdr>
            <w:top w:val="none" w:sz="0" w:space="0" w:color="auto"/>
            <w:left w:val="none" w:sz="0" w:space="0" w:color="auto"/>
            <w:bottom w:val="none" w:sz="0" w:space="0" w:color="auto"/>
            <w:right w:val="none" w:sz="0" w:space="0" w:color="auto"/>
          </w:divBdr>
        </w:div>
      </w:divsChild>
    </w:div>
    <w:div w:id="913586328">
      <w:marLeft w:val="0"/>
      <w:marRight w:val="0"/>
      <w:marTop w:val="0"/>
      <w:marBottom w:val="0"/>
      <w:divBdr>
        <w:top w:val="none" w:sz="0" w:space="0" w:color="auto"/>
        <w:left w:val="none" w:sz="0" w:space="0" w:color="auto"/>
        <w:bottom w:val="none" w:sz="0" w:space="0" w:color="auto"/>
        <w:right w:val="none" w:sz="0" w:space="0" w:color="auto"/>
      </w:divBdr>
    </w:div>
    <w:div w:id="915672970">
      <w:marLeft w:val="0"/>
      <w:marRight w:val="0"/>
      <w:marTop w:val="0"/>
      <w:marBottom w:val="0"/>
      <w:divBdr>
        <w:top w:val="none" w:sz="0" w:space="0" w:color="auto"/>
        <w:left w:val="none" w:sz="0" w:space="0" w:color="auto"/>
        <w:bottom w:val="none" w:sz="0" w:space="0" w:color="auto"/>
        <w:right w:val="none" w:sz="0" w:space="0" w:color="auto"/>
      </w:divBdr>
      <w:divsChild>
        <w:div w:id="1088044952">
          <w:marLeft w:val="0"/>
          <w:marRight w:val="0"/>
          <w:marTop w:val="0"/>
          <w:marBottom w:val="0"/>
          <w:divBdr>
            <w:top w:val="none" w:sz="0" w:space="0" w:color="auto"/>
            <w:left w:val="none" w:sz="0" w:space="0" w:color="auto"/>
            <w:bottom w:val="none" w:sz="0" w:space="0" w:color="auto"/>
            <w:right w:val="none" w:sz="0" w:space="0" w:color="auto"/>
          </w:divBdr>
        </w:div>
      </w:divsChild>
    </w:div>
    <w:div w:id="920259997">
      <w:marLeft w:val="0"/>
      <w:marRight w:val="0"/>
      <w:marTop w:val="0"/>
      <w:marBottom w:val="0"/>
      <w:divBdr>
        <w:top w:val="none" w:sz="0" w:space="0" w:color="auto"/>
        <w:left w:val="none" w:sz="0" w:space="0" w:color="auto"/>
        <w:bottom w:val="none" w:sz="0" w:space="0" w:color="auto"/>
        <w:right w:val="none" w:sz="0" w:space="0" w:color="auto"/>
      </w:divBdr>
    </w:div>
    <w:div w:id="920526151">
      <w:marLeft w:val="0"/>
      <w:marRight w:val="0"/>
      <w:marTop w:val="0"/>
      <w:marBottom w:val="0"/>
      <w:divBdr>
        <w:top w:val="none" w:sz="0" w:space="0" w:color="auto"/>
        <w:left w:val="none" w:sz="0" w:space="0" w:color="auto"/>
        <w:bottom w:val="none" w:sz="0" w:space="0" w:color="auto"/>
        <w:right w:val="none" w:sz="0" w:space="0" w:color="auto"/>
      </w:divBdr>
      <w:divsChild>
        <w:div w:id="557670318">
          <w:marLeft w:val="0"/>
          <w:marRight w:val="0"/>
          <w:marTop w:val="0"/>
          <w:marBottom w:val="0"/>
          <w:divBdr>
            <w:top w:val="none" w:sz="0" w:space="0" w:color="auto"/>
            <w:left w:val="none" w:sz="0" w:space="0" w:color="auto"/>
            <w:bottom w:val="none" w:sz="0" w:space="0" w:color="auto"/>
            <w:right w:val="none" w:sz="0" w:space="0" w:color="auto"/>
          </w:divBdr>
        </w:div>
      </w:divsChild>
    </w:div>
    <w:div w:id="931816794">
      <w:marLeft w:val="0"/>
      <w:marRight w:val="0"/>
      <w:marTop w:val="0"/>
      <w:marBottom w:val="0"/>
      <w:divBdr>
        <w:top w:val="none" w:sz="0" w:space="0" w:color="auto"/>
        <w:left w:val="none" w:sz="0" w:space="0" w:color="auto"/>
        <w:bottom w:val="none" w:sz="0" w:space="0" w:color="auto"/>
        <w:right w:val="none" w:sz="0" w:space="0" w:color="auto"/>
      </w:divBdr>
      <w:divsChild>
        <w:div w:id="1893694431">
          <w:marLeft w:val="0"/>
          <w:marRight w:val="0"/>
          <w:marTop w:val="0"/>
          <w:marBottom w:val="0"/>
          <w:divBdr>
            <w:top w:val="none" w:sz="0" w:space="0" w:color="auto"/>
            <w:left w:val="none" w:sz="0" w:space="0" w:color="auto"/>
            <w:bottom w:val="none" w:sz="0" w:space="0" w:color="auto"/>
            <w:right w:val="none" w:sz="0" w:space="0" w:color="auto"/>
          </w:divBdr>
        </w:div>
      </w:divsChild>
    </w:div>
    <w:div w:id="932130487">
      <w:marLeft w:val="0"/>
      <w:marRight w:val="0"/>
      <w:marTop w:val="0"/>
      <w:marBottom w:val="0"/>
      <w:divBdr>
        <w:top w:val="none" w:sz="0" w:space="0" w:color="auto"/>
        <w:left w:val="none" w:sz="0" w:space="0" w:color="auto"/>
        <w:bottom w:val="none" w:sz="0" w:space="0" w:color="auto"/>
        <w:right w:val="none" w:sz="0" w:space="0" w:color="auto"/>
      </w:divBdr>
    </w:div>
    <w:div w:id="938175289">
      <w:marLeft w:val="0"/>
      <w:marRight w:val="0"/>
      <w:marTop w:val="0"/>
      <w:marBottom w:val="0"/>
      <w:divBdr>
        <w:top w:val="none" w:sz="0" w:space="0" w:color="auto"/>
        <w:left w:val="none" w:sz="0" w:space="0" w:color="auto"/>
        <w:bottom w:val="none" w:sz="0" w:space="0" w:color="auto"/>
        <w:right w:val="none" w:sz="0" w:space="0" w:color="auto"/>
      </w:divBdr>
    </w:div>
    <w:div w:id="939414839">
      <w:marLeft w:val="0"/>
      <w:marRight w:val="0"/>
      <w:marTop w:val="0"/>
      <w:marBottom w:val="0"/>
      <w:divBdr>
        <w:top w:val="none" w:sz="0" w:space="0" w:color="auto"/>
        <w:left w:val="none" w:sz="0" w:space="0" w:color="auto"/>
        <w:bottom w:val="none" w:sz="0" w:space="0" w:color="auto"/>
        <w:right w:val="none" w:sz="0" w:space="0" w:color="auto"/>
      </w:divBdr>
    </w:div>
    <w:div w:id="947083394">
      <w:marLeft w:val="0"/>
      <w:marRight w:val="0"/>
      <w:marTop w:val="0"/>
      <w:marBottom w:val="0"/>
      <w:divBdr>
        <w:top w:val="none" w:sz="0" w:space="0" w:color="auto"/>
        <w:left w:val="none" w:sz="0" w:space="0" w:color="auto"/>
        <w:bottom w:val="none" w:sz="0" w:space="0" w:color="auto"/>
        <w:right w:val="none" w:sz="0" w:space="0" w:color="auto"/>
      </w:divBdr>
    </w:div>
    <w:div w:id="950937067">
      <w:marLeft w:val="0"/>
      <w:marRight w:val="0"/>
      <w:marTop w:val="0"/>
      <w:marBottom w:val="0"/>
      <w:divBdr>
        <w:top w:val="none" w:sz="0" w:space="0" w:color="auto"/>
        <w:left w:val="none" w:sz="0" w:space="0" w:color="auto"/>
        <w:bottom w:val="none" w:sz="0" w:space="0" w:color="auto"/>
        <w:right w:val="none" w:sz="0" w:space="0" w:color="auto"/>
      </w:divBdr>
    </w:div>
    <w:div w:id="961107890">
      <w:marLeft w:val="0"/>
      <w:marRight w:val="0"/>
      <w:marTop w:val="0"/>
      <w:marBottom w:val="0"/>
      <w:divBdr>
        <w:top w:val="none" w:sz="0" w:space="0" w:color="auto"/>
        <w:left w:val="none" w:sz="0" w:space="0" w:color="auto"/>
        <w:bottom w:val="none" w:sz="0" w:space="0" w:color="auto"/>
        <w:right w:val="none" w:sz="0" w:space="0" w:color="auto"/>
      </w:divBdr>
    </w:div>
    <w:div w:id="963539962">
      <w:bodyDiv w:val="1"/>
      <w:marLeft w:val="0"/>
      <w:marRight w:val="0"/>
      <w:marTop w:val="0"/>
      <w:marBottom w:val="0"/>
      <w:divBdr>
        <w:top w:val="none" w:sz="0" w:space="0" w:color="auto"/>
        <w:left w:val="none" w:sz="0" w:space="0" w:color="auto"/>
        <w:bottom w:val="none" w:sz="0" w:space="0" w:color="auto"/>
        <w:right w:val="none" w:sz="0" w:space="0" w:color="auto"/>
      </w:divBdr>
    </w:div>
    <w:div w:id="974333653">
      <w:marLeft w:val="0"/>
      <w:marRight w:val="0"/>
      <w:marTop w:val="0"/>
      <w:marBottom w:val="0"/>
      <w:divBdr>
        <w:top w:val="none" w:sz="0" w:space="0" w:color="auto"/>
        <w:left w:val="none" w:sz="0" w:space="0" w:color="auto"/>
        <w:bottom w:val="none" w:sz="0" w:space="0" w:color="auto"/>
        <w:right w:val="none" w:sz="0" w:space="0" w:color="auto"/>
      </w:divBdr>
    </w:div>
    <w:div w:id="992026032">
      <w:marLeft w:val="0"/>
      <w:marRight w:val="0"/>
      <w:marTop w:val="0"/>
      <w:marBottom w:val="0"/>
      <w:divBdr>
        <w:top w:val="none" w:sz="0" w:space="0" w:color="auto"/>
        <w:left w:val="none" w:sz="0" w:space="0" w:color="auto"/>
        <w:bottom w:val="none" w:sz="0" w:space="0" w:color="auto"/>
        <w:right w:val="none" w:sz="0" w:space="0" w:color="auto"/>
      </w:divBdr>
    </w:div>
    <w:div w:id="992678415">
      <w:marLeft w:val="0"/>
      <w:marRight w:val="0"/>
      <w:marTop w:val="0"/>
      <w:marBottom w:val="0"/>
      <w:divBdr>
        <w:top w:val="none" w:sz="0" w:space="0" w:color="auto"/>
        <w:left w:val="none" w:sz="0" w:space="0" w:color="auto"/>
        <w:bottom w:val="none" w:sz="0" w:space="0" w:color="auto"/>
        <w:right w:val="none" w:sz="0" w:space="0" w:color="auto"/>
      </w:divBdr>
    </w:div>
    <w:div w:id="996419596">
      <w:marLeft w:val="0"/>
      <w:marRight w:val="0"/>
      <w:marTop w:val="0"/>
      <w:marBottom w:val="0"/>
      <w:divBdr>
        <w:top w:val="none" w:sz="0" w:space="0" w:color="auto"/>
        <w:left w:val="none" w:sz="0" w:space="0" w:color="auto"/>
        <w:bottom w:val="none" w:sz="0" w:space="0" w:color="auto"/>
        <w:right w:val="none" w:sz="0" w:space="0" w:color="auto"/>
      </w:divBdr>
    </w:div>
    <w:div w:id="1004361395">
      <w:marLeft w:val="0"/>
      <w:marRight w:val="0"/>
      <w:marTop w:val="0"/>
      <w:marBottom w:val="0"/>
      <w:divBdr>
        <w:top w:val="none" w:sz="0" w:space="0" w:color="auto"/>
        <w:left w:val="none" w:sz="0" w:space="0" w:color="auto"/>
        <w:bottom w:val="none" w:sz="0" w:space="0" w:color="auto"/>
        <w:right w:val="none" w:sz="0" w:space="0" w:color="auto"/>
      </w:divBdr>
    </w:div>
    <w:div w:id="1005475725">
      <w:marLeft w:val="0"/>
      <w:marRight w:val="0"/>
      <w:marTop w:val="0"/>
      <w:marBottom w:val="0"/>
      <w:divBdr>
        <w:top w:val="none" w:sz="0" w:space="0" w:color="auto"/>
        <w:left w:val="none" w:sz="0" w:space="0" w:color="auto"/>
        <w:bottom w:val="none" w:sz="0" w:space="0" w:color="auto"/>
        <w:right w:val="none" w:sz="0" w:space="0" w:color="auto"/>
      </w:divBdr>
    </w:div>
    <w:div w:id="1008293924">
      <w:marLeft w:val="0"/>
      <w:marRight w:val="0"/>
      <w:marTop w:val="0"/>
      <w:marBottom w:val="0"/>
      <w:divBdr>
        <w:top w:val="none" w:sz="0" w:space="0" w:color="auto"/>
        <w:left w:val="none" w:sz="0" w:space="0" w:color="auto"/>
        <w:bottom w:val="none" w:sz="0" w:space="0" w:color="auto"/>
        <w:right w:val="none" w:sz="0" w:space="0" w:color="auto"/>
      </w:divBdr>
    </w:div>
    <w:div w:id="1016154389">
      <w:marLeft w:val="0"/>
      <w:marRight w:val="0"/>
      <w:marTop w:val="0"/>
      <w:marBottom w:val="0"/>
      <w:divBdr>
        <w:top w:val="none" w:sz="0" w:space="0" w:color="auto"/>
        <w:left w:val="none" w:sz="0" w:space="0" w:color="auto"/>
        <w:bottom w:val="none" w:sz="0" w:space="0" w:color="auto"/>
        <w:right w:val="none" w:sz="0" w:space="0" w:color="auto"/>
      </w:divBdr>
    </w:div>
    <w:div w:id="1019045825">
      <w:marLeft w:val="0"/>
      <w:marRight w:val="0"/>
      <w:marTop w:val="0"/>
      <w:marBottom w:val="0"/>
      <w:divBdr>
        <w:top w:val="none" w:sz="0" w:space="0" w:color="auto"/>
        <w:left w:val="none" w:sz="0" w:space="0" w:color="auto"/>
        <w:bottom w:val="none" w:sz="0" w:space="0" w:color="auto"/>
        <w:right w:val="none" w:sz="0" w:space="0" w:color="auto"/>
      </w:divBdr>
      <w:divsChild>
        <w:div w:id="1551724790">
          <w:marLeft w:val="0"/>
          <w:marRight w:val="0"/>
          <w:marTop w:val="0"/>
          <w:marBottom w:val="0"/>
          <w:divBdr>
            <w:top w:val="none" w:sz="0" w:space="0" w:color="auto"/>
            <w:left w:val="none" w:sz="0" w:space="0" w:color="auto"/>
            <w:bottom w:val="none" w:sz="0" w:space="0" w:color="auto"/>
            <w:right w:val="none" w:sz="0" w:space="0" w:color="auto"/>
          </w:divBdr>
        </w:div>
      </w:divsChild>
    </w:div>
    <w:div w:id="1020938531">
      <w:marLeft w:val="0"/>
      <w:marRight w:val="0"/>
      <w:marTop w:val="0"/>
      <w:marBottom w:val="0"/>
      <w:divBdr>
        <w:top w:val="none" w:sz="0" w:space="0" w:color="auto"/>
        <w:left w:val="none" w:sz="0" w:space="0" w:color="auto"/>
        <w:bottom w:val="none" w:sz="0" w:space="0" w:color="auto"/>
        <w:right w:val="none" w:sz="0" w:space="0" w:color="auto"/>
      </w:divBdr>
      <w:divsChild>
        <w:div w:id="725834837">
          <w:marLeft w:val="0"/>
          <w:marRight w:val="0"/>
          <w:marTop w:val="0"/>
          <w:marBottom w:val="0"/>
          <w:divBdr>
            <w:top w:val="none" w:sz="0" w:space="0" w:color="auto"/>
            <w:left w:val="none" w:sz="0" w:space="0" w:color="auto"/>
            <w:bottom w:val="none" w:sz="0" w:space="0" w:color="auto"/>
            <w:right w:val="none" w:sz="0" w:space="0" w:color="auto"/>
          </w:divBdr>
        </w:div>
      </w:divsChild>
    </w:div>
    <w:div w:id="1021588697">
      <w:marLeft w:val="0"/>
      <w:marRight w:val="0"/>
      <w:marTop w:val="0"/>
      <w:marBottom w:val="0"/>
      <w:divBdr>
        <w:top w:val="none" w:sz="0" w:space="0" w:color="auto"/>
        <w:left w:val="none" w:sz="0" w:space="0" w:color="auto"/>
        <w:bottom w:val="none" w:sz="0" w:space="0" w:color="auto"/>
        <w:right w:val="none" w:sz="0" w:space="0" w:color="auto"/>
      </w:divBdr>
    </w:div>
    <w:div w:id="1025592842">
      <w:marLeft w:val="0"/>
      <w:marRight w:val="0"/>
      <w:marTop w:val="0"/>
      <w:marBottom w:val="0"/>
      <w:divBdr>
        <w:top w:val="none" w:sz="0" w:space="0" w:color="auto"/>
        <w:left w:val="none" w:sz="0" w:space="0" w:color="auto"/>
        <w:bottom w:val="none" w:sz="0" w:space="0" w:color="auto"/>
        <w:right w:val="none" w:sz="0" w:space="0" w:color="auto"/>
      </w:divBdr>
    </w:div>
    <w:div w:id="1029531910">
      <w:bodyDiv w:val="1"/>
      <w:marLeft w:val="0"/>
      <w:marRight w:val="0"/>
      <w:marTop w:val="0"/>
      <w:marBottom w:val="0"/>
      <w:divBdr>
        <w:top w:val="none" w:sz="0" w:space="0" w:color="auto"/>
        <w:left w:val="none" w:sz="0" w:space="0" w:color="auto"/>
        <w:bottom w:val="none" w:sz="0" w:space="0" w:color="auto"/>
        <w:right w:val="none" w:sz="0" w:space="0" w:color="auto"/>
      </w:divBdr>
    </w:div>
    <w:div w:id="1037702208">
      <w:marLeft w:val="0"/>
      <w:marRight w:val="0"/>
      <w:marTop w:val="0"/>
      <w:marBottom w:val="0"/>
      <w:divBdr>
        <w:top w:val="none" w:sz="0" w:space="0" w:color="auto"/>
        <w:left w:val="none" w:sz="0" w:space="0" w:color="auto"/>
        <w:bottom w:val="none" w:sz="0" w:space="0" w:color="auto"/>
        <w:right w:val="none" w:sz="0" w:space="0" w:color="auto"/>
      </w:divBdr>
    </w:div>
    <w:div w:id="1039940508">
      <w:marLeft w:val="0"/>
      <w:marRight w:val="0"/>
      <w:marTop w:val="0"/>
      <w:marBottom w:val="0"/>
      <w:divBdr>
        <w:top w:val="none" w:sz="0" w:space="0" w:color="auto"/>
        <w:left w:val="none" w:sz="0" w:space="0" w:color="auto"/>
        <w:bottom w:val="none" w:sz="0" w:space="0" w:color="auto"/>
        <w:right w:val="none" w:sz="0" w:space="0" w:color="auto"/>
      </w:divBdr>
    </w:div>
    <w:div w:id="1041325606">
      <w:marLeft w:val="0"/>
      <w:marRight w:val="0"/>
      <w:marTop w:val="0"/>
      <w:marBottom w:val="0"/>
      <w:divBdr>
        <w:top w:val="none" w:sz="0" w:space="0" w:color="auto"/>
        <w:left w:val="none" w:sz="0" w:space="0" w:color="auto"/>
        <w:bottom w:val="none" w:sz="0" w:space="0" w:color="auto"/>
        <w:right w:val="none" w:sz="0" w:space="0" w:color="auto"/>
      </w:divBdr>
    </w:div>
    <w:div w:id="1054886173">
      <w:marLeft w:val="0"/>
      <w:marRight w:val="0"/>
      <w:marTop w:val="0"/>
      <w:marBottom w:val="0"/>
      <w:divBdr>
        <w:top w:val="none" w:sz="0" w:space="0" w:color="auto"/>
        <w:left w:val="none" w:sz="0" w:space="0" w:color="auto"/>
        <w:bottom w:val="none" w:sz="0" w:space="0" w:color="auto"/>
        <w:right w:val="none" w:sz="0" w:space="0" w:color="auto"/>
      </w:divBdr>
      <w:divsChild>
        <w:div w:id="568197959">
          <w:marLeft w:val="0"/>
          <w:marRight w:val="0"/>
          <w:marTop w:val="0"/>
          <w:marBottom w:val="0"/>
          <w:divBdr>
            <w:top w:val="none" w:sz="0" w:space="0" w:color="auto"/>
            <w:left w:val="none" w:sz="0" w:space="0" w:color="auto"/>
            <w:bottom w:val="none" w:sz="0" w:space="0" w:color="auto"/>
            <w:right w:val="none" w:sz="0" w:space="0" w:color="auto"/>
          </w:divBdr>
        </w:div>
      </w:divsChild>
    </w:div>
    <w:div w:id="1059325107">
      <w:marLeft w:val="0"/>
      <w:marRight w:val="0"/>
      <w:marTop w:val="0"/>
      <w:marBottom w:val="0"/>
      <w:divBdr>
        <w:top w:val="none" w:sz="0" w:space="0" w:color="auto"/>
        <w:left w:val="none" w:sz="0" w:space="0" w:color="auto"/>
        <w:bottom w:val="none" w:sz="0" w:space="0" w:color="auto"/>
        <w:right w:val="none" w:sz="0" w:space="0" w:color="auto"/>
      </w:divBdr>
    </w:div>
    <w:div w:id="1061057833">
      <w:marLeft w:val="0"/>
      <w:marRight w:val="0"/>
      <w:marTop w:val="0"/>
      <w:marBottom w:val="0"/>
      <w:divBdr>
        <w:top w:val="none" w:sz="0" w:space="0" w:color="auto"/>
        <w:left w:val="none" w:sz="0" w:space="0" w:color="auto"/>
        <w:bottom w:val="none" w:sz="0" w:space="0" w:color="auto"/>
        <w:right w:val="none" w:sz="0" w:space="0" w:color="auto"/>
      </w:divBdr>
      <w:divsChild>
        <w:div w:id="2101097477">
          <w:marLeft w:val="0"/>
          <w:marRight w:val="0"/>
          <w:marTop w:val="0"/>
          <w:marBottom w:val="0"/>
          <w:divBdr>
            <w:top w:val="none" w:sz="0" w:space="0" w:color="auto"/>
            <w:left w:val="none" w:sz="0" w:space="0" w:color="auto"/>
            <w:bottom w:val="none" w:sz="0" w:space="0" w:color="auto"/>
            <w:right w:val="none" w:sz="0" w:space="0" w:color="auto"/>
          </w:divBdr>
        </w:div>
      </w:divsChild>
    </w:div>
    <w:div w:id="1062748556">
      <w:marLeft w:val="0"/>
      <w:marRight w:val="0"/>
      <w:marTop w:val="0"/>
      <w:marBottom w:val="0"/>
      <w:divBdr>
        <w:top w:val="none" w:sz="0" w:space="0" w:color="auto"/>
        <w:left w:val="none" w:sz="0" w:space="0" w:color="auto"/>
        <w:bottom w:val="none" w:sz="0" w:space="0" w:color="auto"/>
        <w:right w:val="none" w:sz="0" w:space="0" w:color="auto"/>
      </w:divBdr>
    </w:div>
    <w:div w:id="1065684526">
      <w:marLeft w:val="0"/>
      <w:marRight w:val="0"/>
      <w:marTop w:val="0"/>
      <w:marBottom w:val="0"/>
      <w:divBdr>
        <w:top w:val="none" w:sz="0" w:space="0" w:color="auto"/>
        <w:left w:val="none" w:sz="0" w:space="0" w:color="auto"/>
        <w:bottom w:val="none" w:sz="0" w:space="0" w:color="auto"/>
        <w:right w:val="none" w:sz="0" w:space="0" w:color="auto"/>
      </w:divBdr>
    </w:div>
    <w:div w:id="1069689414">
      <w:marLeft w:val="0"/>
      <w:marRight w:val="0"/>
      <w:marTop w:val="0"/>
      <w:marBottom w:val="0"/>
      <w:divBdr>
        <w:top w:val="none" w:sz="0" w:space="0" w:color="auto"/>
        <w:left w:val="none" w:sz="0" w:space="0" w:color="auto"/>
        <w:bottom w:val="none" w:sz="0" w:space="0" w:color="auto"/>
        <w:right w:val="none" w:sz="0" w:space="0" w:color="auto"/>
      </w:divBdr>
      <w:divsChild>
        <w:div w:id="450592478">
          <w:marLeft w:val="0"/>
          <w:marRight w:val="0"/>
          <w:marTop w:val="0"/>
          <w:marBottom w:val="0"/>
          <w:divBdr>
            <w:top w:val="none" w:sz="0" w:space="0" w:color="auto"/>
            <w:left w:val="none" w:sz="0" w:space="0" w:color="auto"/>
            <w:bottom w:val="none" w:sz="0" w:space="0" w:color="auto"/>
            <w:right w:val="none" w:sz="0" w:space="0" w:color="auto"/>
          </w:divBdr>
        </w:div>
      </w:divsChild>
    </w:div>
    <w:div w:id="1084033647">
      <w:marLeft w:val="0"/>
      <w:marRight w:val="0"/>
      <w:marTop w:val="0"/>
      <w:marBottom w:val="0"/>
      <w:divBdr>
        <w:top w:val="none" w:sz="0" w:space="0" w:color="auto"/>
        <w:left w:val="none" w:sz="0" w:space="0" w:color="auto"/>
        <w:bottom w:val="none" w:sz="0" w:space="0" w:color="auto"/>
        <w:right w:val="none" w:sz="0" w:space="0" w:color="auto"/>
      </w:divBdr>
    </w:div>
    <w:div w:id="1097212109">
      <w:marLeft w:val="0"/>
      <w:marRight w:val="0"/>
      <w:marTop w:val="0"/>
      <w:marBottom w:val="0"/>
      <w:divBdr>
        <w:top w:val="none" w:sz="0" w:space="0" w:color="auto"/>
        <w:left w:val="none" w:sz="0" w:space="0" w:color="auto"/>
        <w:bottom w:val="none" w:sz="0" w:space="0" w:color="auto"/>
        <w:right w:val="none" w:sz="0" w:space="0" w:color="auto"/>
      </w:divBdr>
    </w:div>
    <w:div w:id="1109350736">
      <w:marLeft w:val="0"/>
      <w:marRight w:val="0"/>
      <w:marTop w:val="0"/>
      <w:marBottom w:val="0"/>
      <w:divBdr>
        <w:top w:val="none" w:sz="0" w:space="0" w:color="auto"/>
        <w:left w:val="none" w:sz="0" w:space="0" w:color="auto"/>
        <w:bottom w:val="none" w:sz="0" w:space="0" w:color="auto"/>
        <w:right w:val="none" w:sz="0" w:space="0" w:color="auto"/>
      </w:divBdr>
      <w:divsChild>
        <w:div w:id="279185100">
          <w:marLeft w:val="0"/>
          <w:marRight w:val="0"/>
          <w:marTop w:val="0"/>
          <w:marBottom w:val="0"/>
          <w:divBdr>
            <w:top w:val="none" w:sz="0" w:space="0" w:color="auto"/>
            <w:left w:val="none" w:sz="0" w:space="0" w:color="auto"/>
            <w:bottom w:val="none" w:sz="0" w:space="0" w:color="auto"/>
            <w:right w:val="none" w:sz="0" w:space="0" w:color="auto"/>
          </w:divBdr>
        </w:div>
      </w:divsChild>
    </w:div>
    <w:div w:id="1110854419">
      <w:marLeft w:val="0"/>
      <w:marRight w:val="0"/>
      <w:marTop w:val="0"/>
      <w:marBottom w:val="0"/>
      <w:divBdr>
        <w:top w:val="none" w:sz="0" w:space="0" w:color="auto"/>
        <w:left w:val="none" w:sz="0" w:space="0" w:color="auto"/>
        <w:bottom w:val="none" w:sz="0" w:space="0" w:color="auto"/>
        <w:right w:val="none" w:sz="0" w:space="0" w:color="auto"/>
      </w:divBdr>
    </w:div>
    <w:div w:id="1118836315">
      <w:bodyDiv w:val="1"/>
      <w:marLeft w:val="0"/>
      <w:marRight w:val="0"/>
      <w:marTop w:val="0"/>
      <w:marBottom w:val="0"/>
      <w:divBdr>
        <w:top w:val="none" w:sz="0" w:space="0" w:color="auto"/>
        <w:left w:val="none" w:sz="0" w:space="0" w:color="auto"/>
        <w:bottom w:val="none" w:sz="0" w:space="0" w:color="auto"/>
        <w:right w:val="none" w:sz="0" w:space="0" w:color="auto"/>
      </w:divBdr>
    </w:div>
    <w:div w:id="1119832589">
      <w:bodyDiv w:val="1"/>
      <w:marLeft w:val="0"/>
      <w:marRight w:val="0"/>
      <w:marTop w:val="0"/>
      <w:marBottom w:val="0"/>
      <w:divBdr>
        <w:top w:val="none" w:sz="0" w:space="0" w:color="auto"/>
        <w:left w:val="none" w:sz="0" w:space="0" w:color="auto"/>
        <w:bottom w:val="none" w:sz="0" w:space="0" w:color="auto"/>
        <w:right w:val="none" w:sz="0" w:space="0" w:color="auto"/>
      </w:divBdr>
    </w:div>
    <w:div w:id="1127891638">
      <w:marLeft w:val="0"/>
      <w:marRight w:val="0"/>
      <w:marTop w:val="0"/>
      <w:marBottom w:val="0"/>
      <w:divBdr>
        <w:top w:val="none" w:sz="0" w:space="0" w:color="auto"/>
        <w:left w:val="none" w:sz="0" w:space="0" w:color="auto"/>
        <w:bottom w:val="none" w:sz="0" w:space="0" w:color="auto"/>
        <w:right w:val="none" w:sz="0" w:space="0" w:color="auto"/>
      </w:divBdr>
    </w:div>
    <w:div w:id="1128551657">
      <w:marLeft w:val="0"/>
      <w:marRight w:val="0"/>
      <w:marTop w:val="0"/>
      <w:marBottom w:val="0"/>
      <w:divBdr>
        <w:top w:val="none" w:sz="0" w:space="0" w:color="auto"/>
        <w:left w:val="none" w:sz="0" w:space="0" w:color="auto"/>
        <w:bottom w:val="none" w:sz="0" w:space="0" w:color="auto"/>
        <w:right w:val="none" w:sz="0" w:space="0" w:color="auto"/>
      </w:divBdr>
    </w:div>
    <w:div w:id="1130168759">
      <w:marLeft w:val="0"/>
      <w:marRight w:val="0"/>
      <w:marTop w:val="0"/>
      <w:marBottom w:val="0"/>
      <w:divBdr>
        <w:top w:val="none" w:sz="0" w:space="0" w:color="auto"/>
        <w:left w:val="none" w:sz="0" w:space="0" w:color="auto"/>
        <w:bottom w:val="none" w:sz="0" w:space="0" w:color="auto"/>
        <w:right w:val="none" w:sz="0" w:space="0" w:color="auto"/>
      </w:divBdr>
    </w:div>
    <w:div w:id="1134636793">
      <w:marLeft w:val="0"/>
      <w:marRight w:val="0"/>
      <w:marTop w:val="0"/>
      <w:marBottom w:val="0"/>
      <w:divBdr>
        <w:top w:val="none" w:sz="0" w:space="0" w:color="auto"/>
        <w:left w:val="none" w:sz="0" w:space="0" w:color="auto"/>
        <w:bottom w:val="none" w:sz="0" w:space="0" w:color="auto"/>
        <w:right w:val="none" w:sz="0" w:space="0" w:color="auto"/>
      </w:divBdr>
    </w:div>
    <w:div w:id="1144852901">
      <w:marLeft w:val="0"/>
      <w:marRight w:val="0"/>
      <w:marTop w:val="0"/>
      <w:marBottom w:val="0"/>
      <w:divBdr>
        <w:top w:val="none" w:sz="0" w:space="0" w:color="auto"/>
        <w:left w:val="none" w:sz="0" w:space="0" w:color="auto"/>
        <w:bottom w:val="none" w:sz="0" w:space="0" w:color="auto"/>
        <w:right w:val="none" w:sz="0" w:space="0" w:color="auto"/>
      </w:divBdr>
    </w:div>
    <w:div w:id="1151337452">
      <w:marLeft w:val="0"/>
      <w:marRight w:val="0"/>
      <w:marTop w:val="0"/>
      <w:marBottom w:val="0"/>
      <w:divBdr>
        <w:top w:val="none" w:sz="0" w:space="0" w:color="auto"/>
        <w:left w:val="none" w:sz="0" w:space="0" w:color="auto"/>
        <w:bottom w:val="none" w:sz="0" w:space="0" w:color="auto"/>
        <w:right w:val="none" w:sz="0" w:space="0" w:color="auto"/>
      </w:divBdr>
    </w:div>
    <w:div w:id="1156535628">
      <w:marLeft w:val="0"/>
      <w:marRight w:val="0"/>
      <w:marTop w:val="0"/>
      <w:marBottom w:val="0"/>
      <w:divBdr>
        <w:top w:val="none" w:sz="0" w:space="0" w:color="auto"/>
        <w:left w:val="none" w:sz="0" w:space="0" w:color="auto"/>
        <w:bottom w:val="none" w:sz="0" w:space="0" w:color="auto"/>
        <w:right w:val="none" w:sz="0" w:space="0" w:color="auto"/>
      </w:divBdr>
    </w:div>
    <w:div w:id="1169247978">
      <w:marLeft w:val="0"/>
      <w:marRight w:val="0"/>
      <w:marTop w:val="0"/>
      <w:marBottom w:val="0"/>
      <w:divBdr>
        <w:top w:val="none" w:sz="0" w:space="0" w:color="auto"/>
        <w:left w:val="none" w:sz="0" w:space="0" w:color="auto"/>
        <w:bottom w:val="none" w:sz="0" w:space="0" w:color="auto"/>
        <w:right w:val="none" w:sz="0" w:space="0" w:color="auto"/>
      </w:divBdr>
    </w:div>
    <w:div w:id="1183127258">
      <w:marLeft w:val="0"/>
      <w:marRight w:val="0"/>
      <w:marTop w:val="0"/>
      <w:marBottom w:val="0"/>
      <w:divBdr>
        <w:top w:val="none" w:sz="0" w:space="0" w:color="auto"/>
        <w:left w:val="none" w:sz="0" w:space="0" w:color="auto"/>
        <w:bottom w:val="none" w:sz="0" w:space="0" w:color="auto"/>
        <w:right w:val="none" w:sz="0" w:space="0" w:color="auto"/>
      </w:divBdr>
    </w:div>
    <w:div w:id="1189373797">
      <w:marLeft w:val="0"/>
      <w:marRight w:val="0"/>
      <w:marTop w:val="0"/>
      <w:marBottom w:val="0"/>
      <w:divBdr>
        <w:top w:val="none" w:sz="0" w:space="0" w:color="auto"/>
        <w:left w:val="none" w:sz="0" w:space="0" w:color="auto"/>
        <w:bottom w:val="none" w:sz="0" w:space="0" w:color="auto"/>
        <w:right w:val="none" w:sz="0" w:space="0" w:color="auto"/>
      </w:divBdr>
    </w:div>
    <w:div w:id="1196231460">
      <w:marLeft w:val="0"/>
      <w:marRight w:val="0"/>
      <w:marTop w:val="0"/>
      <w:marBottom w:val="0"/>
      <w:divBdr>
        <w:top w:val="none" w:sz="0" w:space="0" w:color="auto"/>
        <w:left w:val="none" w:sz="0" w:space="0" w:color="auto"/>
        <w:bottom w:val="none" w:sz="0" w:space="0" w:color="auto"/>
        <w:right w:val="none" w:sz="0" w:space="0" w:color="auto"/>
      </w:divBdr>
      <w:divsChild>
        <w:div w:id="209466460">
          <w:marLeft w:val="0"/>
          <w:marRight w:val="0"/>
          <w:marTop w:val="0"/>
          <w:marBottom w:val="0"/>
          <w:divBdr>
            <w:top w:val="none" w:sz="0" w:space="0" w:color="auto"/>
            <w:left w:val="none" w:sz="0" w:space="0" w:color="auto"/>
            <w:bottom w:val="none" w:sz="0" w:space="0" w:color="auto"/>
            <w:right w:val="none" w:sz="0" w:space="0" w:color="auto"/>
          </w:divBdr>
        </w:div>
      </w:divsChild>
    </w:div>
    <w:div w:id="1208490877">
      <w:bodyDiv w:val="1"/>
      <w:marLeft w:val="0"/>
      <w:marRight w:val="0"/>
      <w:marTop w:val="0"/>
      <w:marBottom w:val="0"/>
      <w:divBdr>
        <w:top w:val="none" w:sz="0" w:space="0" w:color="auto"/>
        <w:left w:val="none" w:sz="0" w:space="0" w:color="auto"/>
        <w:bottom w:val="none" w:sz="0" w:space="0" w:color="auto"/>
        <w:right w:val="none" w:sz="0" w:space="0" w:color="auto"/>
      </w:divBdr>
    </w:div>
    <w:div w:id="1209142639">
      <w:marLeft w:val="0"/>
      <w:marRight w:val="0"/>
      <w:marTop w:val="0"/>
      <w:marBottom w:val="0"/>
      <w:divBdr>
        <w:top w:val="none" w:sz="0" w:space="0" w:color="auto"/>
        <w:left w:val="none" w:sz="0" w:space="0" w:color="auto"/>
        <w:bottom w:val="none" w:sz="0" w:space="0" w:color="auto"/>
        <w:right w:val="none" w:sz="0" w:space="0" w:color="auto"/>
      </w:divBdr>
      <w:divsChild>
        <w:div w:id="722943339">
          <w:marLeft w:val="0"/>
          <w:marRight w:val="0"/>
          <w:marTop w:val="0"/>
          <w:marBottom w:val="0"/>
          <w:divBdr>
            <w:top w:val="none" w:sz="0" w:space="0" w:color="auto"/>
            <w:left w:val="none" w:sz="0" w:space="0" w:color="auto"/>
            <w:bottom w:val="none" w:sz="0" w:space="0" w:color="auto"/>
            <w:right w:val="none" w:sz="0" w:space="0" w:color="auto"/>
          </w:divBdr>
        </w:div>
      </w:divsChild>
    </w:div>
    <w:div w:id="1213930226">
      <w:marLeft w:val="0"/>
      <w:marRight w:val="0"/>
      <w:marTop w:val="0"/>
      <w:marBottom w:val="0"/>
      <w:divBdr>
        <w:top w:val="none" w:sz="0" w:space="0" w:color="auto"/>
        <w:left w:val="none" w:sz="0" w:space="0" w:color="auto"/>
        <w:bottom w:val="none" w:sz="0" w:space="0" w:color="auto"/>
        <w:right w:val="none" w:sz="0" w:space="0" w:color="auto"/>
      </w:divBdr>
    </w:div>
    <w:div w:id="1238176020">
      <w:marLeft w:val="0"/>
      <w:marRight w:val="0"/>
      <w:marTop w:val="0"/>
      <w:marBottom w:val="0"/>
      <w:divBdr>
        <w:top w:val="none" w:sz="0" w:space="0" w:color="auto"/>
        <w:left w:val="none" w:sz="0" w:space="0" w:color="auto"/>
        <w:bottom w:val="none" w:sz="0" w:space="0" w:color="auto"/>
        <w:right w:val="none" w:sz="0" w:space="0" w:color="auto"/>
      </w:divBdr>
    </w:div>
    <w:div w:id="1240213910">
      <w:marLeft w:val="0"/>
      <w:marRight w:val="0"/>
      <w:marTop w:val="0"/>
      <w:marBottom w:val="0"/>
      <w:divBdr>
        <w:top w:val="none" w:sz="0" w:space="0" w:color="auto"/>
        <w:left w:val="none" w:sz="0" w:space="0" w:color="auto"/>
        <w:bottom w:val="none" w:sz="0" w:space="0" w:color="auto"/>
        <w:right w:val="none" w:sz="0" w:space="0" w:color="auto"/>
      </w:divBdr>
    </w:div>
    <w:div w:id="1241980927">
      <w:marLeft w:val="0"/>
      <w:marRight w:val="0"/>
      <w:marTop w:val="0"/>
      <w:marBottom w:val="0"/>
      <w:divBdr>
        <w:top w:val="none" w:sz="0" w:space="0" w:color="auto"/>
        <w:left w:val="none" w:sz="0" w:space="0" w:color="auto"/>
        <w:bottom w:val="none" w:sz="0" w:space="0" w:color="auto"/>
        <w:right w:val="none" w:sz="0" w:space="0" w:color="auto"/>
      </w:divBdr>
    </w:div>
    <w:div w:id="1246844217">
      <w:marLeft w:val="0"/>
      <w:marRight w:val="0"/>
      <w:marTop w:val="0"/>
      <w:marBottom w:val="0"/>
      <w:divBdr>
        <w:top w:val="none" w:sz="0" w:space="0" w:color="auto"/>
        <w:left w:val="none" w:sz="0" w:space="0" w:color="auto"/>
        <w:bottom w:val="none" w:sz="0" w:space="0" w:color="auto"/>
        <w:right w:val="none" w:sz="0" w:space="0" w:color="auto"/>
      </w:divBdr>
    </w:div>
    <w:div w:id="1248154270">
      <w:marLeft w:val="0"/>
      <w:marRight w:val="0"/>
      <w:marTop w:val="0"/>
      <w:marBottom w:val="0"/>
      <w:divBdr>
        <w:top w:val="none" w:sz="0" w:space="0" w:color="auto"/>
        <w:left w:val="none" w:sz="0" w:space="0" w:color="auto"/>
        <w:bottom w:val="none" w:sz="0" w:space="0" w:color="auto"/>
        <w:right w:val="none" w:sz="0" w:space="0" w:color="auto"/>
      </w:divBdr>
    </w:div>
    <w:div w:id="1249851592">
      <w:marLeft w:val="0"/>
      <w:marRight w:val="0"/>
      <w:marTop w:val="0"/>
      <w:marBottom w:val="0"/>
      <w:divBdr>
        <w:top w:val="none" w:sz="0" w:space="0" w:color="auto"/>
        <w:left w:val="none" w:sz="0" w:space="0" w:color="auto"/>
        <w:bottom w:val="none" w:sz="0" w:space="0" w:color="auto"/>
        <w:right w:val="none" w:sz="0" w:space="0" w:color="auto"/>
      </w:divBdr>
    </w:div>
    <w:div w:id="1261639615">
      <w:marLeft w:val="0"/>
      <w:marRight w:val="0"/>
      <w:marTop w:val="0"/>
      <w:marBottom w:val="0"/>
      <w:divBdr>
        <w:top w:val="none" w:sz="0" w:space="0" w:color="auto"/>
        <w:left w:val="none" w:sz="0" w:space="0" w:color="auto"/>
        <w:bottom w:val="none" w:sz="0" w:space="0" w:color="auto"/>
        <w:right w:val="none" w:sz="0" w:space="0" w:color="auto"/>
      </w:divBdr>
    </w:div>
    <w:div w:id="1261833398">
      <w:marLeft w:val="0"/>
      <w:marRight w:val="0"/>
      <w:marTop w:val="0"/>
      <w:marBottom w:val="0"/>
      <w:divBdr>
        <w:top w:val="none" w:sz="0" w:space="0" w:color="auto"/>
        <w:left w:val="none" w:sz="0" w:space="0" w:color="auto"/>
        <w:bottom w:val="none" w:sz="0" w:space="0" w:color="auto"/>
        <w:right w:val="none" w:sz="0" w:space="0" w:color="auto"/>
      </w:divBdr>
      <w:divsChild>
        <w:div w:id="854420946">
          <w:marLeft w:val="0"/>
          <w:marRight w:val="0"/>
          <w:marTop w:val="0"/>
          <w:marBottom w:val="0"/>
          <w:divBdr>
            <w:top w:val="none" w:sz="0" w:space="0" w:color="auto"/>
            <w:left w:val="none" w:sz="0" w:space="0" w:color="auto"/>
            <w:bottom w:val="none" w:sz="0" w:space="0" w:color="auto"/>
            <w:right w:val="none" w:sz="0" w:space="0" w:color="auto"/>
          </w:divBdr>
        </w:div>
      </w:divsChild>
    </w:div>
    <w:div w:id="1262297319">
      <w:marLeft w:val="0"/>
      <w:marRight w:val="0"/>
      <w:marTop w:val="0"/>
      <w:marBottom w:val="0"/>
      <w:divBdr>
        <w:top w:val="none" w:sz="0" w:space="0" w:color="auto"/>
        <w:left w:val="none" w:sz="0" w:space="0" w:color="auto"/>
        <w:bottom w:val="none" w:sz="0" w:space="0" w:color="auto"/>
        <w:right w:val="none" w:sz="0" w:space="0" w:color="auto"/>
      </w:divBdr>
    </w:div>
    <w:div w:id="1262684291">
      <w:marLeft w:val="0"/>
      <w:marRight w:val="0"/>
      <w:marTop w:val="0"/>
      <w:marBottom w:val="0"/>
      <w:divBdr>
        <w:top w:val="none" w:sz="0" w:space="0" w:color="auto"/>
        <w:left w:val="none" w:sz="0" w:space="0" w:color="auto"/>
        <w:bottom w:val="none" w:sz="0" w:space="0" w:color="auto"/>
        <w:right w:val="none" w:sz="0" w:space="0" w:color="auto"/>
      </w:divBdr>
    </w:div>
    <w:div w:id="1263801767">
      <w:marLeft w:val="0"/>
      <w:marRight w:val="0"/>
      <w:marTop w:val="0"/>
      <w:marBottom w:val="0"/>
      <w:divBdr>
        <w:top w:val="none" w:sz="0" w:space="0" w:color="auto"/>
        <w:left w:val="none" w:sz="0" w:space="0" w:color="auto"/>
        <w:bottom w:val="none" w:sz="0" w:space="0" w:color="auto"/>
        <w:right w:val="none" w:sz="0" w:space="0" w:color="auto"/>
      </w:divBdr>
      <w:divsChild>
        <w:div w:id="1886526428">
          <w:marLeft w:val="0"/>
          <w:marRight w:val="0"/>
          <w:marTop w:val="0"/>
          <w:marBottom w:val="0"/>
          <w:divBdr>
            <w:top w:val="none" w:sz="0" w:space="0" w:color="auto"/>
            <w:left w:val="none" w:sz="0" w:space="0" w:color="auto"/>
            <w:bottom w:val="none" w:sz="0" w:space="0" w:color="auto"/>
            <w:right w:val="none" w:sz="0" w:space="0" w:color="auto"/>
          </w:divBdr>
        </w:div>
      </w:divsChild>
    </w:div>
    <w:div w:id="1271472950">
      <w:bodyDiv w:val="1"/>
      <w:marLeft w:val="0"/>
      <w:marRight w:val="0"/>
      <w:marTop w:val="0"/>
      <w:marBottom w:val="0"/>
      <w:divBdr>
        <w:top w:val="none" w:sz="0" w:space="0" w:color="auto"/>
        <w:left w:val="none" w:sz="0" w:space="0" w:color="auto"/>
        <w:bottom w:val="none" w:sz="0" w:space="0" w:color="auto"/>
        <w:right w:val="none" w:sz="0" w:space="0" w:color="auto"/>
      </w:divBdr>
    </w:div>
    <w:div w:id="1283460827">
      <w:marLeft w:val="0"/>
      <w:marRight w:val="0"/>
      <w:marTop w:val="0"/>
      <w:marBottom w:val="0"/>
      <w:divBdr>
        <w:top w:val="none" w:sz="0" w:space="0" w:color="auto"/>
        <w:left w:val="none" w:sz="0" w:space="0" w:color="auto"/>
        <w:bottom w:val="none" w:sz="0" w:space="0" w:color="auto"/>
        <w:right w:val="none" w:sz="0" w:space="0" w:color="auto"/>
      </w:divBdr>
    </w:div>
    <w:div w:id="1287159584">
      <w:marLeft w:val="0"/>
      <w:marRight w:val="0"/>
      <w:marTop w:val="0"/>
      <w:marBottom w:val="0"/>
      <w:divBdr>
        <w:top w:val="none" w:sz="0" w:space="0" w:color="auto"/>
        <w:left w:val="none" w:sz="0" w:space="0" w:color="auto"/>
        <w:bottom w:val="none" w:sz="0" w:space="0" w:color="auto"/>
        <w:right w:val="none" w:sz="0" w:space="0" w:color="auto"/>
      </w:divBdr>
    </w:div>
    <w:div w:id="1288588730">
      <w:marLeft w:val="0"/>
      <w:marRight w:val="0"/>
      <w:marTop w:val="0"/>
      <w:marBottom w:val="0"/>
      <w:divBdr>
        <w:top w:val="none" w:sz="0" w:space="0" w:color="auto"/>
        <w:left w:val="none" w:sz="0" w:space="0" w:color="auto"/>
        <w:bottom w:val="none" w:sz="0" w:space="0" w:color="auto"/>
        <w:right w:val="none" w:sz="0" w:space="0" w:color="auto"/>
      </w:divBdr>
      <w:divsChild>
        <w:div w:id="1972588408">
          <w:marLeft w:val="0"/>
          <w:marRight w:val="0"/>
          <w:marTop w:val="0"/>
          <w:marBottom w:val="0"/>
          <w:divBdr>
            <w:top w:val="none" w:sz="0" w:space="0" w:color="auto"/>
            <w:left w:val="none" w:sz="0" w:space="0" w:color="auto"/>
            <w:bottom w:val="none" w:sz="0" w:space="0" w:color="auto"/>
            <w:right w:val="none" w:sz="0" w:space="0" w:color="auto"/>
          </w:divBdr>
        </w:div>
      </w:divsChild>
    </w:div>
    <w:div w:id="1299260987">
      <w:bodyDiv w:val="1"/>
      <w:marLeft w:val="0"/>
      <w:marRight w:val="0"/>
      <w:marTop w:val="0"/>
      <w:marBottom w:val="0"/>
      <w:divBdr>
        <w:top w:val="none" w:sz="0" w:space="0" w:color="auto"/>
        <w:left w:val="none" w:sz="0" w:space="0" w:color="auto"/>
        <w:bottom w:val="none" w:sz="0" w:space="0" w:color="auto"/>
        <w:right w:val="none" w:sz="0" w:space="0" w:color="auto"/>
      </w:divBdr>
      <w:divsChild>
        <w:div w:id="933854472">
          <w:marLeft w:val="0"/>
          <w:marRight w:val="0"/>
          <w:marTop w:val="0"/>
          <w:marBottom w:val="0"/>
          <w:divBdr>
            <w:top w:val="none" w:sz="0" w:space="0" w:color="auto"/>
            <w:left w:val="none" w:sz="0" w:space="0" w:color="auto"/>
            <w:bottom w:val="none" w:sz="0" w:space="0" w:color="auto"/>
            <w:right w:val="none" w:sz="0" w:space="0" w:color="auto"/>
          </w:divBdr>
          <w:divsChild>
            <w:div w:id="95397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4923">
      <w:marLeft w:val="0"/>
      <w:marRight w:val="0"/>
      <w:marTop w:val="0"/>
      <w:marBottom w:val="0"/>
      <w:divBdr>
        <w:top w:val="none" w:sz="0" w:space="0" w:color="auto"/>
        <w:left w:val="none" w:sz="0" w:space="0" w:color="auto"/>
        <w:bottom w:val="none" w:sz="0" w:space="0" w:color="auto"/>
        <w:right w:val="none" w:sz="0" w:space="0" w:color="auto"/>
      </w:divBdr>
    </w:div>
    <w:div w:id="1323853203">
      <w:marLeft w:val="0"/>
      <w:marRight w:val="0"/>
      <w:marTop w:val="0"/>
      <w:marBottom w:val="0"/>
      <w:divBdr>
        <w:top w:val="none" w:sz="0" w:space="0" w:color="auto"/>
        <w:left w:val="none" w:sz="0" w:space="0" w:color="auto"/>
        <w:bottom w:val="none" w:sz="0" w:space="0" w:color="auto"/>
        <w:right w:val="none" w:sz="0" w:space="0" w:color="auto"/>
      </w:divBdr>
    </w:div>
    <w:div w:id="1329601306">
      <w:bodyDiv w:val="1"/>
      <w:marLeft w:val="0"/>
      <w:marRight w:val="0"/>
      <w:marTop w:val="0"/>
      <w:marBottom w:val="0"/>
      <w:divBdr>
        <w:top w:val="none" w:sz="0" w:space="0" w:color="auto"/>
        <w:left w:val="none" w:sz="0" w:space="0" w:color="auto"/>
        <w:bottom w:val="none" w:sz="0" w:space="0" w:color="auto"/>
        <w:right w:val="none" w:sz="0" w:space="0" w:color="auto"/>
      </w:divBdr>
    </w:div>
    <w:div w:id="1330643865">
      <w:marLeft w:val="0"/>
      <w:marRight w:val="0"/>
      <w:marTop w:val="0"/>
      <w:marBottom w:val="0"/>
      <w:divBdr>
        <w:top w:val="none" w:sz="0" w:space="0" w:color="auto"/>
        <w:left w:val="none" w:sz="0" w:space="0" w:color="auto"/>
        <w:bottom w:val="none" w:sz="0" w:space="0" w:color="auto"/>
        <w:right w:val="none" w:sz="0" w:space="0" w:color="auto"/>
      </w:divBdr>
    </w:div>
    <w:div w:id="1331257422">
      <w:marLeft w:val="0"/>
      <w:marRight w:val="0"/>
      <w:marTop w:val="0"/>
      <w:marBottom w:val="0"/>
      <w:divBdr>
        <w:top w:val="none" w:sz="0" w:space="0" w:color="auto"/>
        <w:left w:val="none" w:sz="0" w:space="0" w:color="auto"/>
        <w:bottom w:val="none" w:sz="0" w:space="0" w:color="auto"/>
        <w:right w:val="none" w:sz="0" w:space="0" w:color="auto"/>
      </w:divBdr>
    </w:div>
    <w:div w:id="1335956711">
      <w:marLeft w:val="0"/>
      <w:marRight w:val="0"/>
      <w:marTop w:val="0"/>
      <w:marBottom w:val="0"/>
      <w:divBdr>
        <w:top w:val="none" w:sz="0" w:space="0" w:color="auto"/>
        <w:left w:val="none" w:sz="0" w:space="0" w:color="auto"/>
        <w:bottom w:val="none" w:sz="0" w:space="0" w:color="auto"/>
        <w:right w:val="none" w:sz="0" w:space="0" w:color="auto"/>
      </w:divBdr>
    </w:div>
    <w:div w:id="1359625553">
      <w:marLeft w:val="0"/>
      <w:marRight w:val="0"/>
      <w:marTop w:val="0"/>
      <w:marBottom w:val="0"/>
      <w:divBdr>
        <w:top w:val="none" w:sz="0" w:space="0" w:color="auto"/>
        <w:left w:val="none" w:sz="0" w:space="0" w:color="auto"/>
        <w:bottom w:val="none" w:sz="0" w:space="0" w:color="auto"/>
        <w:right w:val="none" w:sz="0" w:space="0" w:color="auto"/>
      </w:divBdr>
    </w:div>
    <w:div w:id="1360084429">
      <w:marLeft w:val="0"/>
      <w:marRight w:val="0"/>
      <w:marTop w:val="0"/>
      <w:marBottom w:val="0"/>
      <w:divBdr>
        <w:top w:val="none" w:sz="0" w:space="0" w:color="auto"/>
        <w:left w:val="none" w:sz="0" w:space="0" w:color="auto"/>
        <w:bottom w:val="none" w:sz="0" w:space="0" w:color="auto"/>
        <w:right w:val="none" w:sz="0" w:space="0" w:color="auto"/>
      </w:divBdr>
    </w:div>
    <w:div w:id="1364747281">
      <w:bodyDiv w:val="1"/>
      <w:marLeft w:val="0"/>
      <w:marRight w:val="0"/>
      <w:marTop w:val="0"/>
      <w:marBottom w:val="0"/>
      <w:divBdr>
        <w:top w:val="none" w:sz="0" w:space="0" w:color="auto"/>
        <w:left w:val="none" w:sz="0" w:space="0" w:color="auto"/>
        <w:bottom w:val="none" w:sz="0" w:space="0" w:color="auto"/>
        <w:right w:val="none" w:sz="0" w:space="0" w:color="auto"/>
      </w:divBdr>
      <w:divsChild>
        <w:div w:id="1593468789">
          <w:marLeft w:val="0"/>
          <w:marRight w:val="0"/>
          <w:marTop w:val="0"/>
          <w:marBottom w:val="0"/>
          <w:divBdr>
            <w:top w:val="none" w:sz="0" w:space="0" w:color="auto"/>
            <w:left w:val="none" w:sz="0" w:space="0" w:color="auto"/>
            <w:bottom w:val="none" w:sz="0" w:space="0" w:color="auto"/>
            <w:right w:val="none" w:sz="0" w:space="0" w:color="auto"/>
          </w:divBdr>
          <w:divsChild>
            <w:div w:id="16488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6413">
      <w:marLeft w:val="0"/>
      <w:marRight w:val="0"/>
      <w:marTop w:val="0"/>
      <w:marBottom w:val="0"/>
      <w:divBdr>
        <w:top w:val="none" w:sz="0" w:space="0" w:color="auto"/>
        <w:left w:val="none" w:sz="0" w:space="0" w:color="auto"/>
        <w:bottom w:val="none" w:sz="0" w:space="0" w:color="auto"/>
        <w:right w:val="none" w:sz="0" w:space="0" w:color="auto"/>
      </w:divBdr>
    </w:div>
    <w:div w:id="1374961041">
      <w:marLeft w:val="0"/>
      <w:marRight w:val="0"/>
      <w:marTop w:val="0"/>
      <w:marBottom w:val="0"/>
      <w:divBdr>
        <w:top w:val="none" w:sz="0" w:space="0" w:color="auto"/>
        <w:left w:val="none" w:sz="0" w:space="0" w:color="auto"/>
        <w:bottom w:val="none" w:sz="0" w:space="0" w:color="auto"/>
        <w:right w:val="none" w:sz="0" w:space="0" w:color="auto"/>
      </w:divBdr>
    </w:div>
    <w:div w:id="1386947053">
      <w:marLeft w:val="0"/>
      <w:marRight w:val="0"/>
      <w:marTop w:val="0"/>
      <w:marBottom w:val="0"/>
      <w:divBdr>
        <w:top w:val="none" w:sz="0" w:space="0" w:color="auto"/>
        <w:left w:val="none" w:sz="0" w:space="0" w:color="auto"/>
        <w:bottom w:val="none" w:sz="0" w:space="0" w:color="auto"/>
        <w:right w:val="none" w:sz="0" w:space="0" w:color="auto"/>
      </w:divBdr>
    </w:div>
    <w:div w:id="1394743713">
      <w:marLeft w:val="0"/>
      <w:marRight w:val="0"/>
      <w:marTop w:val="0"/>
      <w:marBottom w:val="0"/>
      <w:divBdr>
        <w:top w:val="none" w:sz="0" w:space="0" w:color="auto"/>
        <w:left w:val="none" w:sz="0" w:space="0" w:color="auto"/>
        <w:bottom w:val="none" w:sz="0" w:space="0" w:color="auto"/>
        <w:right w:val="none" w:sz="0" w:space="0" w:color="auto"/>
      </w:divBdr>
    </w:div>
    <w:div w:id="1401948008">
      <w:marLeft w:val="0"/>
      <w:marRight w:val="0"/>
      <w:marTop w:val="0"/>
      <w:marBottom w:val="0"/>
      <w:divBdr>
        <w:top w:val="none" w:sz="0" w:space="0" w:color="auto"/>
        <w:left w:val="none" w:sz="0" w:space="0" w:color="auto"/>
        <w:bottom w:val="none" w:sz="0" w:space="0" w:color="auto"/>
        <w:right w:val="none" w:sz="0" w:space="0" w:color="auto"/>
      </w:divBdr>
    </w:div>
    <w:div w:id="1408455491">
      <w:marLeft w:val="0"/>
      <w:marRight w:val="0"/>
      <w:marTop w:val="0"/>
      <w:marBottom w:val="0"/>
      <w:divBdr>
        <w:top w:val="none" w:sz="0" w:space="0" w:color="auto"/>
        <w:left w:val="none" w:sz="0" w:space="0" w:color="auto"/>
        <w:bottom w:val="none" w:sz="0" w:space="0" w:color="auto"/>
        <w:right w:val="none" w:sz="0" w:space="0" w:color="auto"/>
      </w:divBdr>
    </w:div>
    <w:div w:id="1408648592">
      <w:marLeft w:val="0"/>
      <w:marRight w:val="0"/>
      <w:marTop w:val="0"/>
      <w:marBottom w:val="0"/>
      <w:divBdr>
        <w:top w:val="none" w:sz="0" w:space="0" w:color="auto"/>
        <w:left w:val="none" w:sz="0" w:space="0" w:color="auto"/>
        <w:bottom w:val="none" w:sz="0" w:space="0" w:color="auto"/>
        <w:right w:val="none" w:sz="0" w:space="0" w:color="auto"/>
      </w:divBdr>
    </w:div>
    <w:div w:id="1416704470">
      <w:marLeft w:val="0"/>
      <w:marRight w:val="0"/>
      <w:marTop w:val="0"/>
      <w:marBottom w:val="0"/>
      <w:divBdr>
        <w:top w:val="none" w:sz="0" w:space="0" w:color="auto"/>
        <w:left w:val="none" w:sz="0" w:space="0" w:color="auto"/>
        <w:bottom w:val="none" w:sz="0" w:space="0" w:color="auto"/>
        <w:right w:val="none" w:sz="0" w:space="0" w:color="auto"/>
      </w:divBdr>
      <w:divsChild>
        <w:div w:id="446966142">
          <w:marLeft w:val="0"/>
          <w:marRight w:val="0"/>
          <w:marTop w:val="0"/>
          <w:marBottom w:val="0"/>
          <w:divBdr>
            <w:top w:val="none" w:sz="0" w:space="0" w:color="auto"/>
            <w:left w:val="none" w:sz="0" w:space="0" w:color="auto"/>
            <w:bottom w:val="none" w:sz="0" w:space="0" w:color="auto"/>
            <w:right w:val="none" w:sz="0" w:space="0" w:color="auto"/>
          </w:divBdr>
        </w:div>
      </w:divsChild>
    </w:div>
    <w:div w:id="1423379150">
      <w:marLeft w:val="0"/>
      <w:marRight w:val="0"/>
      <w:marTop w:val="0"/>
      <w:marBottom w:val="0"/>
      <w:divBdr>
        <w:top w:val="none" w:sz="0" w:space="0" w:color="auto"/>
        <w:left w:val="none" w:sz="0" w:space="0" w:color="auto"/>
        <w:bottom w:val="none" w:sz="0" w:space="0" w:color="auto"/>
        <w:right w:val="none" w:sz="0" w:space="0" w:color="auto"/>
      </w:divBdr>
      <w:divsChild>
        <w:div w:id="418410072">
          <w:marLeft w:val="0"/>
          <w:marRight w:val="0"/>
          <w:marTop w:val="0"/>
          <w:marBottom w:val="0"/>
          <w:divBdr>
            <w:top w:val="none" w:sz="0" w:space="0" w:color="auto"/>
            <w:left w:val="none" w:sz="0" w:space="0" w:color="auto"/>
            <w:bottom w:val="none" w:sz="0" w:space="0" w:color="auto"/>
            <w:right w:val="none" w:sz="0" w:space="0" w:color="auto"/>
          </w:divBdr>
        </w:div>
      </w:divsChild>
    </w:div>
    <w:div w:id="1427001982">
      <w:marLeft w:val="0"/>
      <w:marRight w:val="0"/>
      <w:marTop w:val="0"/>
      <w:marBottom w:val="0"/>
      <w:divBdr>
        <w:top w:val="none" w:sz="0" w:space="0" w:color="auto"/>
        <w:left w:val="none" w:sz="0" w:space="0" w:color="auto"/>
        <w:bottom w:val="none" w:sz="0" w:space="0" w:color="auto"/>
        <w:right w:val="none" w:sz="0" w:space="0" w:color="auto"/>
      </w:divBdr>
    </w:div>
    <w:div w:id="1459447892">
      <w:marLeft w:val="0"/>
      <w:marRight w:val="0"/>
      <w:marTop w:val="0"/>
      <w:marBottom w:val="0"/>
      <w:divBdr>
        <w:top w:val="none" w:sz="0" w:space="0" w:color="auto"/>
        <w:left w:val="none" w:sz="0" w:space="0" w:color="auto"/>
        <w:bottom w:val="none" w:sz="0" w:space="0" w:color="auto"/>
        <w:right w:val="none" w:sz="0" w:space="0" w:color="auto"/>
      </w:divBdr>
    </w:div>
    <w:div w:id="1476676988">
      <w:marLeft w:val="0"/>
      <w:marRight w:val="0"/>
      <w:marTop w:val="0"/>
      <w:marBottom w:val="0"/>
      <w:divBdr>
        <w:top w:val="none" w:sz="0" w:space="0" w:color="auto"/>
        <w:left w:val="none" w:sz="0" w:space="0" w:color="auto"/>
        <w:bottom w:val="none" w:sz="0" w:space="0" w:color="auto"/>
        <w:right w:val="none" w:sz="0" w:space="0" w:color="auto"/>
      </w:divBdr>
      <w:divsChild>
        <w:div w:id="484782332">
          <w:marLeft w:val="0"/>
          <w:marRight w:val="0"/>
          <w:marTop w:val="0"/>
          <w:marBottom w:val="0"/>
          <w:divBdr>
            <w:top w:val="none" w:sz="0" w:space="0" w:color="auto"/>
            <w:left w:val="none" w:sz="0" w:space="0" w:color="auto"/>
            <w:bottom w:val="none" w:sz="0" w:space="0" w:color="auto"/>
            <w:right w:val="none" w:sz="0" w:space="0" w:color="auto"/>
          </w:divBdr>
        </w:div>
      </w:divsChild>
    </w:div>
    <w:div w:id="1494908571">
      <w:marLeft w:val="0"/>
      <w:marRight w:val="0"/>
      <w:marTop w:val="0"/>
      <w:marBottom w:val="0"/>
      <w:divBdr>
        <w:top w:val="none" w:sz="0" w:space="0" w:color="auto"/>
        <w:left w:val="none" w:sz="0" w:space="0" w:color="auto"/>
        <w:bottom w:val="none" w:sz="0" w:space="0" w:color="auto"/>
        <w:right w:val="none" w:sz="0" w:space="0" w:color="auto"/>
      </w:divBdr>
    </w:div>
    <w:div w:id="1497920227">
      <w:marLeft w:val="0"/>
      <w:marRight w:val="0"/>
      <w:marTop w:val="0"/>
      <w:marBottom w:val="0"/>
      <w:divBdr>
        <w:top w:val="none" w:sz="0" w:space="0" w:color="auto"/>
        <w:left w:val="none" w:sz="0" w:space="0" w:color="auto"/>
        <w:bottom w:val="none" w:sz="0" w:space="0" w:color="auto"/>
        <w:right w:val="none" w:sz="0" w:space="0" w:color="auto"/>
      </w:divBdr>
    </w:div>
    <w:div w:id="1498568031">
      <w:marLeft w:val="0"/>
      <w:marRight w:val="0"/>
      <w:marTop w:val="0"/>
      <w:marBottom w:val="0"/>
      <w:divBdr>
        <w:top w:val="none" w:sz="0" w:space="0" w:color="auto"/>
        <w:left w:val="none" w:sz="0" w:space="0" w:color="auto"/>
        <w:bottom w:val="none" w:sz="0" w:space="0" w:color="auto"/>
        <w:right w:val="none" w:sz="0" w:space="0" w:color="auto"/>
      </w:divBdr>
    </w:div>
    <w:div w:id="1498688426">
      <w:marLeft w:val="0"/>
      <w:marRight w:val="0"/>
      <w:marTop w:val="0"/>
      <w:marBottom w:val="0"/>
      <w:divBdr>
        <w:top w:val="none" w:sz="0" w:space="0" w:color="auto"/>
        <w:left w:val="none" w:sz="0" w:space="0" w:color="auto"/>
        <w:bottom w:val="none" w:sz="0" w:space="0" w:color="auto"/>
        <w:right w:val="none" w:sz="0" w:space="0" w:color="auto"/>
      </w:divBdr>
      <w:divsChild>
        <w:div w:id="1515149057">
          <w:marLeft w:val="0"/>
          <w:marRight w:val="0"/>
          <w:marTop w:val="0"/>
          <w:marBottom w:val="0"/>
          <w:divBdr>
            <w:top w:val="none" w:sz="0" w:space="0" w:color="auto"/>
            <w:left w:val="none" w:sz="0" w:space="0" w:color="auto"/>
            <w:bottom w:val="none" w:sz="0" w:space="0" w:color="auto"/>
            <w:right w:val="none" w:sz="0" w:space="0" w:color="auto"/>
          </w:divBdr>
        </w:div>
      </w:divsChild>
    </w:div>
    <w:div w:id="1501313333">
      <w:marLeft w:val="0"/>
      <w:marRight w:val="0"/>
      <w:marTop w:val="0"/>
      <w:marBottom w:val="0"/>
      <w:divBdr>
        <w:top w:val="none" w:sz="0" w:space="0" w:color="auto"/>
        <w:left w:val="none" w:sz="0" w:space="0" w:color="auto"/>
        <w:bottom w:val="none" w:sz="0" w:space="0" w:color="auto"/>
        <w:right w:val="none" w:sz="0" w:space="0" w:color="auto"/>
      </w:divBdr>
    </w:div>
    <w:div w:id="1501315753">
      <w:marLeft w:val="0"/>
      <w:marRight w:val="0"/>
      <w:marTop w:val="0"/>
      <w:marBottom w:val="0"/>
      <w:divBdr>
        <w:top w:val="none" w:sz="0" w:space="0" w:color="auto"/>
        <w:left w:val="none" w:sz="0" w:space="0" w:color="auto"/>
        <w:bottom w:val="none" w:sz="0" w:space="0" w:color="auto"/>
        <w:right w:val="none" w:sz="0" w:space="0" w:color="auto"/>
      </w:divBdr>
    </w:div>
    <w:div w:id="1504397947">
      <w:marLeft w:val="0"/>
      <w:marRight w:val="0"/>
      <w:marTop w:val="0"/>
      <w:marBottom w:val="0"/>
      <w:divBdr>
        <w:top w:val="none" w:sz="0" w:space="0" w:color="auto"/>
        <w:left w:val="none" w:sz="0" w:space="0" w:color="auto"/>
        <w:bottom w:val="none" w:sz="0" w:space="0" w:color="auto"/>
        <w:right w:val="none" w:sz="0" w:space="0" w:color="auto"/>
      </w:divBdr>
    </w:div>
    <w:div w:id="1506748580">
      <w:marLeft w:val="0"/>
      <w:marRight w:val="0"/>
      <w:marTop w:val="0"/>
      <w:marBottom w:val="0"/>
      <w:divBdr>
        <w:top w:val="none" w:sz="0" w:space="0" w:color="auto"/>
        <w:left w:val="none" w:sz="0" w:space="0" w:color="auto"/>
        <w:bottom w:val="none" w:sz="0" w:space="0" w:color="auto"/>
        <w:right w:val="none" w:sz="0" w:space="0" w:color="auto"/>
      </w:divBdr>
    </w:div>
    <w:div w:id="1507132898">
      <w:bodyDiv w:val="1"/>
      <w:marLeft w:val="0"/>
      <w:marRight w:val="0"/>
      <w:marTop w:val="0"/>
      <w:marBottom w:val="0"/>
      <w:divBdr>
        <w:top w:val="none" w:sz="0" w:space="0" w:color="auto"/>
        <w:left w:val="none" w:sz="0" w:space="0" w:color="auto"/>
        <w:bottom w:val="none" w:sz="0" w:space="0" w:color="auto"/>
        <w:right w:val="none" w:sz="0" w:space="0" w:color="auto"/>
      </w:divBdr>
      <w:divsChild>
        <w:div w:id="169417124">
          <w:marLeft w:val="0"/>
          <w:marRight w:val="0"/>
          <w:marTop w:val="0"/>
          <w:marBottom w:val="0"/>
          <w:divBdr>
            <w:top w:val="none" w:sz="0" w:space="0" w:color="auto"/>
            <w:left w:val="none" w:sz="0" w:space="0" w:color="auto"/>
            <w:bottom w:val="none" w:sz="0" w:space="0" w:color="auto"/>
            <w:right w:val="none" w:sz="0" w:space="0" w:color="auto"/>
          </w:divBdr>
          <w:divsChild>
            <w:div w:id="1759132223">
              <w:marLeft w:val="0"/>
              <w:marRight w:val="0"/>
              <w:marTop w:val="0"/>
              <w:marBottom w:val="0"/>
              <w:divBdr>
                <w:top w:val="none" w:sz="0" w:space="0" w:color="auto"/>
                <w:left w:val="none" w:sz="0" w:space="0" w:color="auto"/>
                <w:bottom w:val="none" w:sz="0" w:space="0" w:color="auto"/>
                <w:right w:val="none" w:sz="0" w:space="0" w:color="auto"/>
              </w:divBdr>
            </w:div>
          </w:divsChild>
        </w:div>
        <w:div w:id="1532454234">
          <w:marLeft w:val="0"/>
          <w:marRight w:val="0"/>
          <w:marTop w:val="0"/>
          <w:marBottom w:val="150"/>
          <w:divBdr>
            <w:top w:val="none" w:sz="0" w:space="0" w:color="auto"/>
            <w:left w:val="none" w:sz="0" w:space="0" w:color="auto"/>
            <w:bottom w:val="none" w:sz="0" w:space="0" w:color="auto"/>
            <w:right w:val="none" w:sz="0" w:space="0" w:color="auto"/>
          </w:divBdr>
          <w:divsChild>
            <w:div w:id="1482694107">
              <w:marLeft w:val="0"/>
              <w:marRight w:val="0"/>
              <w:marTop w:val="0"/>
              <w:marBottom w:val="0"/>
              <w:divBdr>
                <w:top w:val="none" w:sz="0" w:space="0" w:color="auto"/>
                <w:left w:val="none" w:sz="0" w:space="0" w:color="auto"/>
                <w:bottom w:val="none" w:sz="0" w:space="0" w:color="auto"/>
                <w:right w:val="none" w:sz="0" w:space="0" w:color="auto"/>
              </w:divBdr>
              <w:divsChild>
                <w:div w:id="1847397776">
                  <w:marLeft w:val="0"/>
                  <w:marRight w:val="0"/>
                  <w:marTop w:val="0"/>
                  <w:marBottom w:val="0"/>
                  <w:divBdr>
                    <w:top w:val="none" w:sz="0" w:space="0" w:color="auto"/>
                    <w:left w:val="none" w:sz="0" w:space="0" w:color="auto"/>
                    <w:bottom w:val="none" w:sz="0" w:space="0" w:color="auto"/>
                    <w:right w:val="none" w:sz="0" w:space="0" w:color="auto"/>
                  </w:divBdr>
                  <w:divsChild>
                    <w:div w:id="88718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481947">
      <w:marLeft w:val="0"/>
      <w:marRight w:val="0"/>
      <w:marTop w:val="0"/>
      <w:marBottom w:val="0"/>
      <w:divBdr>
        <w:top w:val="none" w:sz="0" w:space="0" w:color="auto"/>
        <w:left w:val="none" w:sz="0" w:space="0" w:color="auto"/>
        <w:bottom w:val="none" w:sz="0" w:space="0" w:color="auto"/>
        <w:right w:val="none" w:sz="0" w:space="0" w:color="auto"/>
      </w:divBdr>
    </w:div>
    <w:div w:id="1511410436">
      <w:marLeft w:val="0"/>
      <w:marRight w:val="0"/>
      <w:marTop w:val="0"/>
      <w:marBottom w:val="0"/>
      <w:divBdr>
        <w:top w:val="none" w:sz="0" w:space="0" w:color="auto"/>
        <w:left w:val="none" w:sz="0" w:space="0" w:color="auto"/>
        <w:bottom w:val="none" w:sz="0" w:space="0" w:color="auto"/>
        <w:right w:val="none" w:sz="0" w:space="0" w:color="auto"/>
      </w:divBdr>
    </w:div>
    <w:div w:id="1513377804">
      <w:marLeft w:val="0"/>
      <w:marRight w:val="0"/>
      <w:marTop w:val="0"/>
      <w:marBottom w:val="0"/>
      <w:divBdr>
        <w:top w:val="none" w:sz="0" w:space="0" w:color="auto"/>
        <w:left w:val="none" w:sz="0" w:space="0" w:color="auto"/>
        <w:bottom w:val="none" w:sz="0" w:space="0" w:color="auto"/>
        <w:right w:val="none" w:sz="0" w:space="0" w:color="auto"/>
      </w:divBdr>
    </w:div>
    <w:div w:id="1523470171">
      <w:marLeft w:val="0"/>
      <w:marRight w:val="0"/>
      <w:marTop w:val="0"/>
      <w:marBottom w:val="0"/>
      <w:divBdr>
        <w:top w:val="none" w:sz="0" w:space="0" w:color="auto"/>
        <w:left w:val="none" w:sz="0" w:space="0" w:color="auto"/>
        <w:bottom w:val="none" w:sz="0" w:space="0" w:color="auto"/>
        <w:right w:val="none" w:sz="0" w:space="0" w:color="auto"/>
      </w:divBdr>
    </w:div>
    <w:div w:id="1524829264">
      <w:bodyDiv w:val="1"/>
      <w:marLeft w:val="0"/>
      <w:marRight w:val="0"/>
      <w:marTop w:val="0"/>
      <w:marBottom w:val="0"/>
      <w:divBdr>
        <w:top w:val="none" w:sz="0" w:space="0" w:color="auto"/>
        <w:left w:val="none" w:sz="0" w:space="0" w:color="auto"/>
        <w:bottom w:val="none" w:sz="0" w:space="0" w:color="auto"/>
        <w:right w:val="none" w:sz="0" w:space="0" w:color="auto"/>
      </w:divBdr>
    </w:div>
    <w:div w:id="1525820892">
      <w:marLeft w:val="0"/>
      <w:marRight w:val="0"/>
      <w:marTop w:val="0"/>
      <w:marBottom w:val="0"/>
      <w:divBdr>
        <w:top w:val="none" w:sz="0" w:space="0" w:color="auto"/>
        <w:left w:val="none" w:sz="0" w:space="0" w:color="auto"/>
        <w:bottom w:val="none" w:sz="0" w:space="0" w:color="auto"/>
        <w:right w:val="none" w:sz="0" w:space="0" w:color="auto"/>
      </w:divBdr>
    </w:div>
    <w:div w:id="1526946639">
      <w:marLeft w:val="0"/>
      <w:marRight w:val="0"/>
      <w:marTop w:val="0"/>
      <w:marBottom w:val="0"/>
      <w:divBdr>
        <w:top w:val="none" w:sz="0" w:space="0" w:color="auto"/>
        <w:left w:val="none" w:sz="0" w:space="0" w:color="auto"/>
        <w:bottom w:val="none" w:sz="0" w:space="0" w:color="auto"/>
        <w:right w:val="none" w:sz="0" w:space="0" w:color="auto"/>
      </w:divBdr>
    </w:div>
    <w:div w:id="1528374258">
      <w:marLeft w:val="0"/>
      <w:marRight w:val="0"/>
      <w:marTop w:val="0"/>
      <w:marBottom w:val="0"/>
      <w:divBdr>
        <w:top w:val="none" w:sz="0" w:space="0" w:color="auto"/>
        <w:left w:val="none" w:sz="0" w:space="0" w:color="auto"/>
        <w:bottom w:val="none" w:sz="0" w:space="0" w:color="auto"/>
        <w:right w:val="none" w:sz="0" w:space="0" w:color="auto"/>
      </w:divBdr>
    </w:div>
    <w:div w:id="1546524699">
      <w:marLeft w:val="0"/>
      <w:marRight w:val="0"/>
      <w:marTop w:val="0"/>
      <w:marBottom w:val="0"/>
      <w:divBdr>
        <w:top w:val="none" w:sz="0" w:space="0" w:color="auto"/>
        <w:left w:val="none" w:sz="0" w:space="0" w:color="auto"/>
        <w:bottom w:val="none" w:sz="0" w:space="0" w:color="auto"/>
        <w:right w:val="none" w:sz="0" w:space="0" w:color="auto"/>
      </w:divBdr>
    </w:div>
    <w:div w:id="1547452588">
      <w:marLeft w:val="0"/>
      <w:marRight w:val="0"/>
      <w:marTop w:val="0"/>
      <w:marBottom w:val="0"/>
      <w:divBdr>
        <w:top w:val="none" w:sz="0" w:space="0" w:color="auto"/>
        <w:left w:val="none" w:sz="0" w:space="0" w:color="auto"/>
        <w:bottom w:val="none" w:sz="0" w:space="0" w:color="auto"/>
        <w:right w:val="none" w:sz="0" w:space="0" w:color="auto"/>
      </w:divBdr>
    </w:div>
    <w:div w:id="1548027970">
      <w:marLeft w:val="0"/>
      <w:marRight w:val="0"/>
      <w:marTop w:val="0"/>
      <w:marBottom w:val="0"/>
      <w:divBdr>
        <w:top w:val="none" w:sz="0" w:space="0" w:color="auto"/>
        <w:left w:val="none" w:sz="0" w:space="0" w:color="auto"/>
        <w:bottom w:val="none" w:sz="0" w:space="0" w:color="auto"/>
        <w:right w:val="none" w:sz="0" w:space="0" w:color="auto"/>
      </w:divBdr>
    </w:div>
    <w:div w:id="1561550485">
      <w:bodyDiv w:val="1"/>
      <w:marLeft w:val="0"/>
      <w:marRight w:val="0"/>
      <w:marTop w:val="0"/>
      <w:marBottom w:val="0"/>
      <w:divBdr>
        <w:top w:val="none" w:sz="0" w:space="0" w:color="auto"/>
        <w:left w:val="none" w:sz="0" w:space="0" w:color="auto"/>
        <w:bottom w:val="none" w:sz="0" w:space="0" w:color="auto"/>
        <w:right w:val="none" w:sz="0" w:space="0" w:color="auto"/>
      </w:divBdr>
    </w:div>
    <w:div w:id="1567376974">
      <w:marLeft w:val="0"/>
      <w:marRight w:val="0"/>
      <w:marTop w:val="0"/>
      <w:marBottom w:val="0"/>
      <w:divBdr>
        <w:top w:val="none" w:sz="0" w:space="0" w:color="auto"/>
        <w:left w:val="none" w:sz="0" w:space="0" w:color="auto"/>
        <w:bottom w:val="none" w:sz="0" w:space="0" w:color="auto"/>
        <w:right w:val="none" w:sz="0" w:space="0" w:color="auto"/>
      </w:divBdr>
    </w:div>
    <w:div w:id="1567764085">
      <w:marLeft w:val="0"/>
      <w:marRight w:val="0"/>
      <w:marTop w:val="0"/>
      <w:marBottom w:val="0"/>
      <w:divBdr>
        <w:top w:val="none" w:sz="0" w:space="0" w:color="auto"/>
        <w:left w:val="none" w:sz="0" w:space="0" w:color="auto"/>
        <w:bottom w:val="none" w:sz="0" w:space="0" w:color="auto"/>
        <w:right w:val="none" w:sz="0" w:space="0" w:color="auto"/>
      </w:divBdr>
    </w:div>
    <w:div w:id="1568495941">
      <w:marLeft w:val="0"/>
      <w:marRight w:val="0"/>
      <w:marTop w:val="0"/>
      <w:marBottom w:val="0"/>
      <w:divBdr>
        <w:top w:val="none" w:sz="0" w:space="0" w:color="auto"/>
        <w:left w:val="none" w:sz="0" w:space="0" w:color="auto"/>
        <w:bottom w:val="none" w:sz="0" w:space="0" w:color="auto"/>
        <w:right w:val="none" w:sz="0" w:space="0" w:color="auto"/>
      </w:divBdr>
    </w:div>
    <w:div w:id="1569152121">
      <w:marLeft w:val="0"/>
      <w:marRight w:val="0"/>
      <w:marTop w:val="0"/>
      <w:marBottom w:val="0"/>
      <w:divBdr>
        <w:top w:val="none" w:sz="0" w:space="0" w:color="auto"/>
        <w:left w:val="none" w:sz="0" w:space="0" w:color="auto"/>
        <w:bottom w:val="none" w:sz="0" w:space="0" w:color="auto"/>
        <w:right w:val="none" w:sz="0" w:space="0" w:color="auto"/>
      </w:divBdr>
    </w:div>
    <w:div w:id="1575309859">
      <w:marLeft w:val="0"/>
      <w:marRight w:val="0"/>
      <w:marTop w:val="0"/>
      <w:marBottom w:val="0"/>
      <w:divBdr>
        <w:top w:val="none" w:sz="0" w:space="0" w:color="auto"/>
        <w:left w:val="none" w:sz="0" w:space="0" w:color="auto"/>
        <w:bottom w:val="none" w:sz="0" w:space="0" w:color="auto"/>
        <w:right w:val="none" w:sz="0" w:space="0" w:color="auto"/>
      </w:divBdr>
    </w:div>
    <w:div w:id="1575816870">
      <w:bodyDiv w:val="1"/>
      <w:marLeft w:val="0"/>
      <w:marRight w:val="0"/>
      <w:marTop w:val="0"/>
      <w:marBottom w:val="0"/>
      <w:divBdr>
        <w:top w:val="none" w:sz="0" w:space="0" w:color="auto"/>
        <w:left w:val="none" w:sz="0" w:space="0" w:color="auto"/>
        <w:bottom w:val="none" w:sz="0" w:space="0" w:color="auto"/>
        <w:right w:val="none" w:sz="0" w:space="0" w:color="auto"/>
      </w:divBdr>
    </w:div>
    <w:div w:id="1583366550">
      <w:marLeft w:val="0"/>
      <w:marRight w:val="0"/>
      <w:marTop w:val="0"/>
      <w:marBottom w:val="0"/>
      <w:divBdr>
        <w:top w:val="none" w:sz="0" w:space="0" w:color="auto"/>
        <w:left w:val="none" w:sz="0" w:space="0" w:color="auto"/>
        <w:bottom w:val="none" w:sz="0" w:space="0" w:color="auto"/>
        <w:right w:val="none" w:sz="0" w:space="0" w:color="auto"/>
      </w:divBdr>
      <w:divsChild>
        <w:div w:id="950358881">
          <w:marLeft w:val="0"/>
          <w:marRight w:val="0"/>
          <w:marTop w:val="0"/>
          <w:marBottom w:val="0"/>
          <w:divBdr>
            <w:top w:val="none" w:sz="0" w:space="0" w:color="auto"/>
            <w:left w:val="none" w:sz="0" w:space="0" w:color="auto"/>
            <w:bottom w:val="none" w:sz="0" w:space="0" w:color="auto"/>
            <w:right w:val="none" w:sz="0" w:space="0" w:color="auto"/>
          </w:divBdr>
        </w:div>
      </w:divsChild>
    </w:div>
    <w:div w:id="1589998489">
      <w:marLeft w:val="0"/>
      <w:marRight w:val="0"/>
      <w:marTop w:val="0"/>
      <w:marBottom w:val="0"/>
      <w:divBdr>
        <w:top w:val="none" w:sz="0" w:space="0" w:color="auto"/>
        <w:left w:val="none" w:sz="0" w:space="0" w:color="auto"/>
        <w:bottom w:val="none" w:sz="0" w:space="0" w:color="auto"/>
        <w:right w:val="none" w:sz="0" w:space="0" w:color="auto"/>
      </w:divBdr>
      <w:divsChild>
        <w:div w:id="1597321679">
          <w:marLeft w:val="0"/>
          <w:marRight w:val="0"/>
          <w:marTop w:val="0"/>
          <w:marBottom w:val="0"/>
          <w:divBdr>
            <w:top w:val="none" w:sz="0" w:space="0" w:color="auto"/>
            <w:left w:val="none" w:sz="0" w:space="0" w:color="auto"/>
            <w:bottom w:val="none" w:sz="0" w:space="0" w:color="auto"/>
            <w:right w:val="none" w:sz="0" w:space="0" w:color="auto"/>
          </w:divBdr>
        </w:div>
      </w:divsChild>
    </w:div>
    <w:div w:id="1592161180">
      <w:marLeft w:val="0"/>
      <w:marRight w:val="0"/>
      <w:marTop w:val="0"/>
      <w:marBottom w:val="0"/>
      <w:divBdr>
        <w:top w:val="none" w:sz="0" w:space="0" w:color="auto"/>
        <w:left w:val="none" w:sz="0" w:space="0" w:color="auto"/>
        <w:bottom w:val="none" w:sz="0" w:space="0" w:color="auto"/>
        <w:right w:val="none" w:sz="0" w:space="0" w:color="auto"/>
      </w:divBdr>
    </w:div>
    <w:div w:id="1608385164">
      <w:marLeft w:val="0"/>
      <w:marRight w:val="0"/>
      <w:marTop w:val="0"/>
      <w:marBottom w:val="0"/>
      <w:divBdr>
        <w:top w:val="none" w:sz="0" w:space="0" w:color="auto"/>
        <w:left w:val="none" w:sz="0" w:space="0" w:color="auto"/>
        <w:bottom w:val="none" w:sz="0" w:space="0" w:color="auto"/>
        <w:right w:val="none" w:sz="0" w:space="0" w:color="auto"/>
      </w:divBdr>
      <w:divsChild>
        <w:div w:id="1125075702">
          <w:marLeft w:val="0"/>
          <w:marRight w:val="0"/>
          <w:marTop w:val="0"/>
          <w:marBottom w:val="0"/>
          <w:divBdr>
            <w:top w:val="none" w:sz="0" w:space="0" w:color="auto"/>
            <w:left w:val="none" w:sz="0" w:space="0" w:color="auto"/>
            <w:bottom w:val="none" w:sz="0" w:space="0" w:color="auto"/>
            <w:right w:val="none" w:sz="0" w:space="0" w:color="auto"/>
          </w:divBdr>
        </w:div>
      </w:divsChild>
    </w:div>
    <w:div w:id="1612007664">
      <w:marLeft w:val="0"/>
      <w:marRight w:val="0"/>
      <w:marTop w:val="0"/>
      <w:marBottom w:val="0"/>
      <w:divBdr>
        <w:top w:val="none" w:sz="0" w:space="0" w:color="auto"/>
        <w:left w:val="none" w:sz="0" w:space="0" w:color="auto"/>
        <w:bottom w:val="none" w:sz="0" w:space="0" w:color="auto"/>
        <w:right w:val="none" w:sz="0" w:space="0" w:color="auto"/>
      </w:divBdr>
    </w:div>
    <w:div w:id="1615594227">
      <w:marLeft w:val="0"/>
      <w:marRight w:val="0"/>
      <w:marTop w:val="0"/>
      <w:marBottom w:val="0"/>
      <w:divBdr>
        <w:top w:val="none" w:sz="0" w:space="0" w:color="auto"/>
        <w:left w:val="none" w:sz="0" w:space="0" w:color="auto"/>
        <w:bottom w:val="none" w:sz="0" w:space="0" w:color="auto"/>
        <w:right w:val="none" w:sz="0" w:space="0" w:color="auto"/>
      </w:divBdr>
      <w:divsChild>
        <w:div w:id="1791974652">
          <w:marLeft w:val="0"/>
          <w:marRight w:val="0"/>
          <w:marTop w:val="0"/>
          <w:marBottom w:val="0"/>
          <w:divBdr>
            <w:top w:val="none" w:sz="0" w:space="0" w:color="auto"/>
            <w:left w:val="none" w:sz="0" w:space="0" w:color="auto"/>
            <w:bottom w:val="none" w:sz="0" w:space="0" w:color="auto"/>
            <w:right w:val="none" w:sz="0" w:space="0" w:color="auto"/>
          </w:divBdr>
        </w:div>
      </w:divsChild>
    </w:div>
    <w:div w:id="1629818518">
      <w:marLeft w:val="0"/>
      <w:marRight w:val="0"/>
      <w:marTop w:val="0"/>
      <w:marBottom w:val="0"/>
      <w:divBdr>
        <w:top w:val="none" w:sz="0" w:space="0" w:color="auto"/>
        <w:left w:val="none" w:sz="0" w:space="0" w:color="auto"/>
        <w:bottom w:val="none" w:sz="0" w:space="0" w:color="auto"/>
        <w:right w:val="none" w:sz="0" w:space="0" w:color="auto"/>
      </w:divBdr>
    </w:div>
    <w:div w:id="1640568781">
      <w:marLeft w:val="0"/>
      <w:marRight w:val="0"/>
      <w:marTop w:val="0"/>
      <w:marBottom w:val="0"/>
      <w:divBdr>
        <w:top w:val="none" w:sz="0" w:space="0" w:color="auto"/>
        <w:left w:val="none" w:sz="0" w:space="0" w:color="auto"/>
        <w:bottom w:val="none" w:sz="0" w:space="0" w:color="auto"/>
        <w:right w:val="none" w:sz="0" w:space="0" w:color="auto"/>
      </w:divBdr>
    </w:div>
    <w:div w:id="1645087288">
      <w:bodyDiv w:val="1"/>
      <w:marLeft w:val="0"/>
      <w:marRight w:val="0"/>
      <w:marTop w:val="0"/>
      <w:marBottom w:val="0"/>
      <w:divBdr>
        <w:top w:val="none" w:sz="0" w:space="0" w:color="auto"/>
        <w:left w:val="none" w:sz="0" w:space="0" w:color="auto"/>
        <w:bottom w:val="none" w:sz="0" w:space="0" w:color="auto"/>
        <w:right w:val="none" w:sz="0" w:space="0" w:color="auto"/>
      </w:divBdr>
      <w:divsChild>
        <w:div w:id="1215577468">
          <w:marLeft w:val="0"/>
          <w:marRight w:val="0"/>
          <w:marTop w:val="0"/>
          <w:marBottom w:val="0"/>
          <w:divBdr>
            <w:top w:val="none" w:sz="0" w:space="0" w:color="auto"/>
            <w:left w:val="none" w:sz="0" w:space="0" w:color="auto"/>
            <w:bottom w:val="none" w:sz="0" w:space="0" w:color="auto"/>
            <w:right w:val="none" w:sz="0" w:space="0" w:color="auto"/>
          </w:divBdr>
          <w:divsChild>
            <w:div w:id="56926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9940">
      <w:bodyDiv w:val="1"/>
      <w:marLeft w:val="0"/>
      <w:marRight w:val="0"/>
      <w:marTop w:val="0"/>
      <w:marBottom w:val="0"/>
      <w:divBdr>
        <w:top w:val="none" w:sz="0" w:space="0" w:color="auto"/>
        <w:left w:val="none" w:sz="0" w:space="0" w:color="auto"/>
        <w:bottom w:val="none" w:sz="0" w:space="0" w:color="auto"/>
        <w:right w:val="none" w:sz="0" w:space="0" w:color="auto"/>
      </w:divBdr>
    </w:div>
    <w:div w:id="1658416360">
      <w:marLeft w:val="0"/>
      <w:marRight w:val="0"/>
      <w:marTop w:val="0"/>
      <w:marBottom w:val="0"/>
      <w:divBdr>
        <w:top w:val="none" w:sz="0" w:space="0" w:color="auto"/>
        <w:left w:val="none" w:sz="0" w:space="0" w:color="auto"/>
        <w:bottom w:val="none" w:sz="0" w:space="0" w:color="auto"/>
        <w:right w:val="none" w:sz="0" w:space="0" w:color="auto"/>
      </w:divBdr>
    </w:div>
    <w:div w:id="1660570679">
      <w:marLeft w:val="0"/>
      <w:marRight w:val="0"/>
      <w:marTop w:val="0"/>
      <w:marBottom w:val="0"/>
      <w:divBdr>
        <w:top w:val="none" w:sz="0" w:space="0" w:color="auto"/>
        <w:left w:val="none" w:sz="0" w:space="0" w:color="auto"/>
        <w:bottom w:val="none" w:sz="0" w:space="0" w:color="auto"/>
        <w:right w:val="none" w:sz="0" w:space="0" w:color="auto"/>
      </w:divBdr>
    </w:div>
    <w:div w:id="1665549683">
      <w:marLeft w:val="0"/>
      <w:marRight w:val="0"/>
      <w:marTop w:val="0"/>
      <w:marBottom w:val="0"/>
      <w:divBdr>
        <w:top w:val="none" w:sz="0" w:space="0" w:color="auto"/>
        <w:left w:val="none" w:sz="0" w:space="0" w:color="auto"/>
        <w:bottom w:val="none" w:sz="0" w:space="0" w:color="auto"/>
        <w:right w:val="none" w:sz="0" w:space="0" w:color="auto"/>
      </w:divBdr>
    </w:div>
    <w:div w:id="1669211197">
      <w:marLeft w:val="0"/>
      <w:marRight w:val="0"/>
      <w:marTop w:val="0"/>
      <w:marBottom w:val="0"/>
      <w:divBdr>
        <w:top w:val="none" w:sz="0" w:space="0" w:color="auto"/>
        <w:left w:val="none" w:sz="0" w:space="0" w:color="auto"/>
        <w:bottom w:val="none" w:sz="0" w:space="0" w:color="auto"/>
        <w:right w:val="none" w:sz="0" w:space="0" w:color="auto"/>
      </w:divBdr>
    </w:div>
    <w:div w:id="1671714113">
      <w:bodyDiv w:val="1"/>
      <w:marLeft w:val="0"/>
      <w:marRight w:val="0"/>
      <w:marTop w:val="0"/>
      <w:marBottom w:val="0"/>
      <w:divBdr>
        <w:top w:val="none" w:sz="0" w:space="0" w:color="auto"/>
        <w:left w:val="none" w:sz="0" w:space="0" w:color="auto"/>
        <w:bottom w:val="none" w:sz="0" w:space="0" w:color="auto"/>
        <w:right w:val="none" w:sz="0" w:space="0" w:color="auto"/>
      </w:divBdr>
    </w:div>
    <w:div w:id="1678538698">
      <w:marLeft w:val="0"/>
      <w:marRight w:val="0"/>
      <w:marTop w:val="0"/>
      <w:marBottom w:val="0"/>
      <w:divBdr>
        <w:top w:val="none" w:sz="0" w:space="0" w:color="auto"/>
        <w:left w:val="none" w:sz="0" w:space="0" w:color="auto"/>
        <w:bottom w:val="none" w:sz="0" w:space="0" w:color="auto"/>
        <w:right w:val="none" w:sz="0" w:space="0" w:color="auto"/>
      </w:divBdr>
    </w:div>
    <w:div w:id="1683700043">
      <w:marLeft w:val="0"/>
      <w:marRight w:val="0"/>
      <w:marTop w:val="0"/>
      <w:marBottom w:val="0"/>
      <w:divBdr>
        <w:top w:val="none" w:sz="0" w:space="0" w:color="auto"/>
        <w:left w:val="none" w:sz="0" w:space="0" w:color="auto"/>
        <w:bottom w:val="none" w:sz="0" w:space="0" w:color="auto"/>
        <w:right w:val="none" w:sz="0" w:space="0" w:color="auto"/>
      </w:divBdr>
    </w:div>
    <w:div w:id="1693409457">
      <w:marLeft w:val="0"/>
      <w:marRight w:val="0"/>
      <w:marTop w:val="0"/>
      <w:marBottom w:val="0"/>
      <w:divBdr>
        <w:top w:val="none" w:sz="0" w:space="0" w:color="auto"/>
        <w:left w:val="none" w:sz="0" w:space="0" w:color="auto"/>
        <w:bottom w:val="none" w:sz="0" w:space="0" w:color="auto"/>
        <w:right w:val="none" w:sz="0" w:space="0" w:color="auto"/>
      </w:divBdr>
    </w:div>
    <w:div w:id="1693914079">
      <w:marLeft w:val="0"/>
      <w:marRight w:val="0"/>
      <w:marTop w:val="0"/>
      <w:marBottom w:val="0"/>
      <w:divBdr>
        <w:top w:val="none" w:sz="0" w:space="0" w:color="auto"/>
        <w:left w:val="none" w:sz="0" w:space="0" w:color="auto"/>
        <w:bottom w:val="none" w:sz="0" w:space="0" w:color="auto"/>
        <w:right w:val="none" w:sz="0" w:space="0" w:color="auto"/>
      </w:divBdr>
    </w:div>
    <w:div w:id="1712075317">
      <w:marLeft w:val="0"/>
      <w:marRight w:val="0"/>
      <w:marTop w:val="0"/>
      <w:marBottom w:val="0"/>
      <w:divBdr>
        <w:top w:val="none" w:sz="0" w:space="0" w:color="auto"/>
        <w:left w:val="none" w:sz="0" w:space="0" w:color="auto"/>
        <w:bottom w:val="none" w:sz="0" w:space="0" w:color="auto"/>
        <w:right w:val="none" w:sz="0" w:space="0" w:color="auto"/>
      </w:divBdr>
      <w:divsChild>
        <w:div w:id="358968490">
          <w:marLeft w:val="0"/>
          <w:marRight w:val="0"/>
          <w:marTop w:val="0"/>
          <w:marBottom w:val="0"/>
          <w:divBdr>
            <w:top w:val="none" w:sz="0" w:space="0" w:color="auto"/>
            <w:left w:val="none" w:sz="0" w:space="0" w:color="auto"/>
            <w:bottom w:val="none" w:sz="0" w:space="0" w:color="auto"/>
            <w:right w:val="none" w:sz="0" w:space="0" w:color="auto"/>
          </w:divBdr>
        </w:div>
      </w:divsChild>
    </w:div>
    <w:div w:id="1713455885">
      <w:marLeft w:val="0"/>
      <w:marRight w:val="0"/>
      <w:marTop w:val="0"/>
      <w:marBottom w:val="0"/>
      <w:divBdr>
        <w:top w:val="none" w:sz="0" w:space="0" w:color="auto"/>
        <w:left w:val="none" w:sz="0" w:space="0" w:color="auto"/>
        <w:bottom w:val="none" w:sz="0" w:space="0" w:color="auto"/>
        <w:right w:val="none" w:sz="0" w:space="0" w:color="auto"/>
      </w:divBdr>
      <w:divsChild>
        <w:div w:id="1835533922">
          <w:marLeft w:val="0"/>
          <w:marRight w:val="0"/>
          <w:marTop w:val="0"/>
          <w:marBottom w:val="0"/>
          <w:divBdr>
            <w:top w:val="none" w:sz="0" w:space="0" w:color="auto"/>
            <w:left w:val="none" w:sz="0" w:space="0" w:color="auto"/>
            <w:bottom w:val="none" w:sz="0" w:space="0" w:color="auto"/>
            <w:right w:val="none" w:sz="0" w:space="0" w:color="auto"/>
          </w:divBdr>
        </w:div>
      </w:divsChild>
    </w:div>
    <w:div w:id="1724448926">
      <w:marLeft w:val="0"/>
      <w:marRight w:val="0"/>
      <w:marTop w:val="0"/>
      <w:marBottom w:val="0"/>
      <w:divBdr>
        <w:top w:val="none" w:sz="0" w:space="0" w:color="auto"/>
        <w:left w:val="none" w:sz="0" w:space="0" w:color="auto"/>
        <w:bottom w:val="none" w:sz="0" w:space="0" w:color="auto"/>
        <w:right w:val="none" w:sz="0" w:space="0" w:color="auto"/>
      </w:divBdr>
    </w:div>
    <w:div w:id="1738746748">
      <w:marLeft w:val="0"/>
      <w:marRight w:val="0"/>
      <w:marTop w:val="0"/>
      <w:marBottom w:val="0"/>
      <w:divBdr>
        <w:top w:val="none" w:sz="0" w:space="0" w:color="auto"/>
        <w:left w:val="none" w:sz="0" w:space="0" w:color="auto"/>
        <w:bottom w:val="none" w:sz="0" w:space="0" w:color="auto"/>
        <w:right w:val="none" w:sz="0" w:space="0" w:color="auto"/>
      </w:divBdr>
    </w:div>
    <w:div w:id="1742943676">
      <w:marLeft w:val="0"/>
      <w:marRight w:val="0"/>
      <w:marTop w:val="0"/>
      <w:marBottom w:val="0"/>
      <w:divBdr>
        <w:top w:val="none" w:sz="0" w:space="0" w:color="auto"/>
        <w:left w:val="none" w:sz="0" w:space="0" w:color="auto"/>
        <w:bottom w:val="none" w:sz="0" w:space="0" w:color="auto"/>
        <w:right w:val="none" w:sz="0" w:space="0" w:color="auto"/>
      </w:divBdr>
    </w:div>
    <w:div w:id="1754816254">
      <w:marLeft w:val="0"/>
      <w:marRight w:val="0"/>
      <w:marTop w:val="0"/>
      <w:marBottom w:val="0"/>
      <w:divBdr>
        <w:top w:val="none" w:sz="0" w:space="0" w:color="auto"/>
        <w:left w:val="none" w:sz="0" w:space="0" w:color="auto"/>
        <w:bottom w:val="none" w:sz="0" w:space="0" w:color="auto"/>
        <w:right w:val="none" w:sz="0" w:space="0" w:color="auto"/>
      </w:divBdr>
    </w:div>
    <w:div w:id="1756049743">
      <w:marLeft w:val="0"/>
      <w:marRight w:val="0"/>
      <w:marTop w:val="0"/>
      <w:marBottom w:val="0"/>
      <w:divBdr>
        <w:top w:val="none" w:sz="0" w:space="0" w:color="auto"/>
        <w:left w:val="none" w:sz="0" w:space="0" w:color="auto"/>
        <w:bottom w:val="none" w:sz="0" w:space="0" w:color="auto"/>
        <w:right w:val="none" w:sz="0" w:space="0" w:color="auto"/>
      </w:divBdr>
    </w:div>
    <w:div w:id="1765877454">
      <w:marLeft w:val="0"/>
      <w:marRight w:val="0"/>
      <w:marTop w:val="0"/>
      <w:marBottom w:val="0"/>
      <w:divBdr>
        <w:top w:val="none" w:sz="0" w:space="0" w:color="auto"/>
        <w:left w:val="none" w:sz="0" w:space="0" w:color="auto"/>
        <w:bottom w:val="none" w:sz="0" w:space="0" w:color="auto"/>
        <w:right w:val="none" w:sz="0" w:space="0" w:color="auto"/>
      </w:divBdr>
    </w:div>
    <w:div w:id="1765953404">
      <w:marLeft w:val="0"/>
      <w:marRight w:val="0"/>
      <w:marTop w:val="0"/>
      <w:marBottom w:val="0"/>
      <w:divBdr>
        <w:top w:val="none" w:sz="0" w:space="0" w:color="auto"/>
        <w:left w:val="none" w:sz="0" w:space="0" w:color="auto"/>
        <w:bottom w:val="none" w:sz="0" w:space="0" w:color="auto"/>
        <w:right w:val="none" w:sz="0" w:space="0" w:color="auto"/>
      </w:divBdr>
      <w:divsChild>
        <w:div w:id="1612542276">
          <w:marLeft w:val="0"/>
          <w:marRight w:val="0"/>
          <w:marTop w:val="0"/>
          <w:marBottom w:val="0"/>
          <w:divBdr>
            <w:top w:val="none" w:sz="0" w:space="0" w:color="auto"/>
            <w:left w:val="none" w:sz="0" w:space="0" w:color="auto"/>
            <w:bottom w:val="none" w:sz="0" w:space="0" w:color="auto"/>
            <w:right w:val="none" w:sz="0" w:space="0" w:color="auto"/>
          </w:divBdr>
        </w:div>
      </w:divsChild>
    </w:div>
    <w:div w:id="1770008614">
      <w:marLeft w:val="0"/>
      <w:marRight w:val="0"/>
      <w:marTop w:val="0"/>
      <w:marBottom w:val="0"/>
      <w:divBdr>
        <w:top w:val="none" w:sz="0" w:space="0" w:color="auto"/>
        <w:left w:val="none" w:sz="0" w:space="0" w:color="auto"/>
        <w:bottom w:val="none" w:sz="0" w:space="0" w:color="auto"/>
        <w:right w:val="none" w:sz="0" w:space="0" w:color="auto"/>
      </w:divBdr>
    </w:div>
    <w:div w:id="1773695749">
      <w:marLeft w:val="0"/>
      <w:marRight w:val="0"/>
      <w:marTop w:val="0"/>
      <w:marBottom w:val="0"/>
      <w:divBdr>
        <w:top w:val="none" w:sz="0" w:space="0" w:color="auto"/>
        <w:left w:val="none" w:sz="0" w:space="0" w:color="auto"/>
        <w:bottom w:val="none" w:sz="0" w:space="0" w:color="auto"/>
        <w:right w:val="none" w:sz="0" w:space="0" w:color="auto"/>
      </w:divBdr>
    </w:div>
    <w:div w:id="1778526445">
      <w:marLeft w:val="0"/>
      <w:marRight w:val="0"/>
      <w:marTop w:val="0"/>
      <w:marBottom w:val="0"/>
      <w:divBdr>
        <w:top w:val="none" w:sz="0" w:space="0" w:color="auto"/>
        <w:left w:val="none" w:sz="0" w:space="0" w:color="auto"/>
        <w:bottom w:val="none" w:sz="0" w:space="0" w:color="auto"/>
        <w:right w:val="none" w:sz="0" w:space="0" w:color="auto"/>
      </w:divBdr>
    </w:div>
    <w:div w:id="1791780072">
      <w:marLeft w:val="0"/>
      <w:marRight w:val="0"/>
      <w:marTop w:val="0"/>
      <w:marBottom w:val="0"/>
      <w:divBdr>
        <w:top w:val="none" w:sz="0" w:space="0" w:color="auto"/>
        <w:left w:val="none" w:sz="0" w:space="0" w:color="auto"/>
        <w:bottom w:val="none" w:sz="0" w:space="0" w:color="auto"/>
        <w:right w:val="none" w:sz="0" w:space="0" w:color="auto"/>
      </w:divBdr>
    </w:div>
    <w:div w:id="1795294465">
      <w:marLeft w:val="0"/>
      <w:marRight w:val="0"/>
      <w:marTop w:val="0"/>
      <w:marBottom w:val="0"/>
      <w:divBdr>
        <w:top w:val="none" w:sz="0" w:space="0" w:color="auto"/>
        <w:left w:val="none" w:sz="0" w:space="0" w:color="auto"/>
        <w:bottom w:val="none" w:sz="0" w:space="0" w:color="auto"/>
        <w:right w:val="none" w:sz="0" w:space="0" w:color="auto"/>
      </w:divBdr>
      <w:divsChild>
        <w:div w:id="1719626235">
          <w:marLeft w:val="0"/>
          <w:marRight w:val="0"/>
          <w:marTop w:val="0"/>
          <w:marBottom w:val="0"/>
          <w:divBdr>
            <w:top w:val="none" w:sz="0" w:space="0" w:color="auto"/>
            <w:left w:val="none" w:sz="0" w:space="0" w:color="auto"/>
            <w:bottom w:val="none" w:sz="0" w:space="0" w:color="auto"/>
            <w:right w:val="none" w:sz="0" w:space="0" w:color="auto"/>
          </w:divBdr>
        </w:div>
      </w:divsChild>
    </w:div>
    <w:div w:id="1798255889">
      <w:marLeft w:val="0"/>
      <w:marRight w:val="0"/>
      <w:marTop w:val="0"/>
      <w:marBottom w:val="0"/>
      <w:divBdr>
        <w:top w:val="none" w:sz="0" w:space="0" w:color="auto"/>
        <w:left w:val="none" w:sz="0" w:space="0" w:color="auto"/>
        <w:bottom w:val="none" w:sz="0" w:space="0" w:color="auto"/>
        <w:right w:val="none" w:sz="0" w:space="0" w:color="auto"/>
      </w:divBdr>
    </w:div>
    <w:div w:id="1800297459">
      <w:marLeft w:val="0"/>
      <w:marRight w:val="0"/>
      <w:marTop w:val="0"/>
      <w:marBottom w:val="0"/>
      <w:divBdr>
        <w:top w:val="none" w:sz="0" w:space="0" w:color="auto"/>
        <w:left w:val="none" w:sz="0" w:space="0" w:color="auto"/>
        <w:bottom w:val="none" w:sz="0" w:space="0" w:color="auto"/>
        <w:right w:val="none" w:sz="0" w:space="0" w:color="auto"/>
      </w:divBdr>
    </w:div>
    <w:div w:id="1801723289">
      <w:marLeft w:val="0"/>
      <w:marRight w:val="0"/>
      <w:marTop w:val="0"/>
      <w:marBottom w:val="0"/>
      <w:divBdr>
        <w:top w:val="none" w:sz="0" w:space="0" w:color="auto"/>
        <w:left w:val="none" w:sz="0" w:space="0" w:color="auto"/>
        <w:bottom w:val="none" w:sz="0" w:space="0" w:color="auto"/>
        <w:right w:val="none" w:sz="0" w:space="0" w:color="auto"/>
      </w:divBdr>
    </w:div>
    <w:div w:id="1801990733">
      <w:bodyDiv w:val="1"/>
      <w:marLeft w:val="0"/>
      <w:marRight w:val="0"/>
      <w:marTop w:val="0"/>
      <w:marBottom w:val="0"/>
      <w:divBdr>
        <w:top w:val="none" w:sz="0" w:space="0" w:color="auto"/>
        <w:left w:val="none" w:sz="0" w:space="0" w:color="auto"/>
        <w:bottom w:val="none" w:sz="0" w:space="0" w:color="auto"/>
        <w:right w:val="none" w:sz="0" w:space="0" w:color="auto"/>
      </w:divBdr>
    </w:div>
    <w:div w:id="1808349637">
      <w:marLeft w:val="0"/>
      <w:marRight w:val="0"/>
      <w:marTop w:val="0"/>
      <w:marBottom w:val="0"/>
      <w:divBdr>
        <w:top w:val="none" w:sz="0" w:space="0" w:color="auto"/>
        <w:left w:val="none" w:sz="0" w:space="0" w:color="auto"/>
        <w:bottom w:val="none" w:sz="0" w:space="0" w:color="auto"/>
        <w:right w:val="none" w:sz="0" w:space="0" w:color="auto"/>
      </w:divBdr>
      <w:divsChild>
        <w:div w:id="433212994">
          <w:marLeft w:val="0"/>
          <w:marRight w:val="0"/>
          <w:marTop w:val="0"/>
          <w:marBottom w:val="0"/>
          <w:divBdr>
            <w:top w:val="none" w:sz="0" w:space="0" w:color="auto"/>
            <w:left w:val="none" w:sz="0" w:space="0" w:color="auto"/>
            <w:bottom w:val="none" w:sz="0" w:space="0" w:color="auto"/>
            <w:right w:val="none" w:sz="0" w:space="0" w:color="auto"/>
          </w:divBdr>
        </w:div>
      </w:divsChild>
    </w:div>
    <w:div w:id="1826508793">
      <w:marLeft w:val="0"/>
      <w:marRight w:val="0"/>
      <w:marTop w:val="0"/>
      <w:marBottom w:val="0"/>
      <w:divBdr>
        <w:top w:val="none" w:sz="0" w:space="0" w:color="auto"/>
        <w:left w:val="none" w:sz="0" w:space="0" w:color="auto"/>
        <w:bottom w:val="none" w:sz="0" w:space="0" w:color="auto"/>
        <w:right w:val="none" w:sz="0" w:space="0" w:color="auto"/>
      </w:divBdr>
    </w:div>
    <w:div w:id="1830443827">
      <w:marLeft w:val="0"/>
      <w:marRight w:val="0"/>
      <w:marTop w:val="0"/>
      <w:marBottom w:val="0"/>
      <w:divBdr>
        <w:top w:val="none" w:sz="0" w:space="0" w:color="auto"/>
        <w:left w:val="none" w:sz="0" w:space="0" w:color="auto"/>
        <w:bottom w:val="none" w:sz="0" w:space="0" w:color="auto"/>
        <w:right w:val="none" w:sz="0" w:space="0" w:color="auto"/>
      </w:divBdr>
    </w:div>
    <w:div w:id="1830513796">
      <w:marLeft w:val="0"/>
      <w:marRight w:val="0"/>
      <w:marTop w:val="0"/>
      <w:marBottom w:val="0"/>
      <w:divBdr>
        <w:top w:val="none" w:sz="0" w:space="0" w:color="auto"/>
        <w:left w:val="none" w:sz="0" w:space="0" w:color="auto"/>
        <w:bottom w:val="none" w:sz="0" w:space="0" w:color="auto"/>
        <w:right w:val="none" w:sz="0" w:space="0" w:color="auto"/>
      </w:divBdr>
      <w:divsChild>
        <w:div w:id="524906770">
          <w:marLeft w:val="0"/>
          <w:marRight w:val="0"/>
          <w:marTop w:val="0"/>
          <w:marBottom w:val="0"/>
          <w:divBdr>
            <w:top w:val="none" w:sz="0" w:space="0" w:color="auto"/>
            <w:left w:val="none" w:sz="0" w:space="0" w:color="auto"/>
            <w:bottom w:val="none" w:sz="0" w:space="0" w:color="auto"/>
            <w:right w:val="none" w:sz="0" w:space="0" w:color="auto"/>
          </w:divBdr>
        </w:div>
      </w:divsChild>
    </w:div>
    <w:div w:id="1831285199">
      <w:marLeft w:val="0"/>
      <w:marRight w:val="0"/>
      <w:marTop w:val="0"/>
      <w:marBottom w:val="0"/>
      <w:divBdr>
        <w:top w:val="none" w:sz="0" w:space="0" w:color="auto"/>
        <w:left w:val="none" w:sz="0" w:space="0" w:color="auto"/>
        <w:bottom w:val="none" w:sz="0" w:space="0" w:color="auto"/>
        <w:right w:val="none" w:sz="0" w:space="0" w:color="auto"/>
      </w:divBdr>
      <w:divsChild>
        <w:div w:id="936795559">
          <w:marLeft w:val="0"/>
          <w:marRight w:val="0"/>
          <w:marTop w:val="0"/>
          <w:marBottom w:val="0"/>
          <w:divBdr>
            <w:top w:val="none" w:sz="0" w:space="0" w:color="auto"/>
            <w:left w:val="none" w:sz="0" w:space="0" w:color="auto"/>
            <w:bottom w:val="none" w:sz="0" w:space="0" w:color="auto"/>
            <w:right w:val="none" w:sz="0" w:space="0" w:color="auto"/>
          </w:divBdr>
        </w:div>
      </w:divsChild>
    </w:div>
    <w:div w:id="1879321205">
      <w:marLeft w:val="0"/>
      <w:marRight w:val="0"/>
      <w:marTop w:val="0"/>
      <w:marBottom w:val="0"/>
      <w:divBdr>
        <w:top w:val="none" w:sz="0" w:space="0" w:color="auto"/>
        <w:left w:val="none" w:sz="0" w:space="0" w:color="auto"/>
        <w:bottom w:val="none" w:sz="0" w:space="0" w:color="auto"/>
        <w:right w:val="none" w:sz="0" w:space="0" w:color="auto"/>
      </w:divBdr>
    </w:div>
    <w:div w:id="1882669091">
      <w:marLeft w:val="0"/>
      <w:marRight w:val="0"/>
      <w:marTop w:val="0"/>
      <w:marBottom w:val="0"/>
      <w:divBdr>
        <w:top w:val="none" w:sz="0" w:space="0" w:color="auto"/>
        <w:left w:val="none" w:sz="0" w:space="0" w:color="auto"/>
        <w:bottom w:val="none" w:sz="0" w:space="0" w:color="auto"/>
        <w:right w:val="none" w:sz="0" w:space="0" w:color="auto"/>
      </w:divBdr>
    </w:div>
    <w:div w:id="1887639014">
      <w:marLeft w:val="0"/>
      <w:marRight w:val="0"/>
      <w:marTop w:val="0"/>
      <w:marBottom w:val="0"/>
      <w:divBdr>
        <w:top w:val="none" w:sz="0" w:space="0" w:color="auto"/>
        <w:left w:val="none" w:sz="0" w:space="0" w:color="auto"/>
        <w:bottom w:val="none" w:sz="0" w:space="0" w:color="auto"/>
        <w:right w:val="none" w:sz="0" w:space="0" w:color="auto"/>
      </w:divBdr>
    </w:div>
    <w:div w:id="1888255560">
      <w:marLeft w:val="0"/>
      <w:marRight w:val="0"/>
      <w:marTop w:val="0"/>
      <w:marBottom w:val="0"/>
      <w:divBdr>
        <w:top w:val="none" w:sz="0" w:space="0" w:color="auto"/>
        <w:left w:val="none" w:sz="0" w:space="0" w:color="auto"/>
        <w:bottom w:val="none" w:sz="0" w:space="0" w:color="auto"/>
        <w:right w:val="none" w:sz="0" w:space="0" w:color="auto"/>
      </w:divBdr>
    </w:div>
    <w:div w:id="1888955081">
      <w:marLeft w:val="0"/>
      <w:marRight w:val="0"/>
      <w:marTop w:val="0"/>
      <w:marBottom w:val="0"/>
      <w:divBdr>
        <w:top w:val="none" w:sz="0" w:space="0" w:color="auto"/>
        <w:left w:val="none" w:sz="0" w:space="0" w:color="auto"/>
        <w:bottom w:val="none" w:sz="0" w:space="0" w:color="auto"/>
        <w:right w:val="none" w:sz="0" w:space="0" w:color="auto"/>
      </w:divBdr>
    </w:div>
    <w:div w:id="1892881748">
      <w:marLeft w:val="0"/>
      <w:marRight w:val="0"/>
      <w:marTop w:val="0"/>
      <w:marBottom w:val="0"/>
      <w:divBdr>
        <w:top w:val="none" w:sz="0" w:space="0" w:color="auto"/>
        <w:left w:val="none" w:sz="0" w:space="0" w:color="auto"/>
        <w:bottom w:val="none" w:sz="0" w:space="0" w:color="auto"/>
        <w:right w:val="none" w:sz="0" w:space="0" w:color="auto"/>
      </w:divBdr>
    </w:div>
    <w:div w:id="1908296623">
      <w:marLeft w:val="0"/>
      <w:marRight w:val="0"/>
      <w:marTop w:val="0"/>
      <w:marBottom w:val="0"/>
      <w:divBdr>
        <w:top w:val="none" w:sz="0" w:space="0" w:color="auto"/>
        <w:left w:val="none" w:sz="0" w:space="0" w:color="auto"/>
        <w:bottom w:val="none" w:sz="0" w:space="0" w:color="auto"/>
        <w:right w:val="none" w:sz="0" w:space="0" w:color="auto"/>
      </w:divBdr>
    </w:div>
    <w:div w:id="1920867148">
      <w:marLeft w:val="0"/>
      <w:marRight w:val="0"/>
      <w:marTop w:val="0"/>
      <w:marBottom w:val="0"/>
      <w:divBdr>
        <w:top w:val="none" w:sz="0" w:space="0" w:color="auto"/>
        <w:left w:val="none" w:sz="0" w:space="0" w:color="auto"/>
        <w:bottom w:val="none" w:sz="0" w:space="0" w:color="auto"/>
        <w:right w:val="none" w:sz="0" w:space="0" w:color="auto"/>
      </w:divBdr>
    </w:div>
    <w:div w:id="1924992730">
      <w:marLeft w:val="0"/>
      <w:marRight w:val="0"/>
      <w:marTop w:val="0"/>
      <w:marBottom w:val="0"/>
      <w:divBdr>
        <w:top w:val="none" w:sz="0" w:space="0" w:color="auto"/>
        <w:left w:val="none" w:sz="0" w:space="0" w:color="auto"/>
        <w:bottom w:val="none" w:sz="0" w:space="0" w:color="auto"/>
        <w:right w:val="none" w:sz="0" w:space="0" w:color="auto"/>
      </w:divBdr>
    </w:div>
    <w:div w:id="1940017385">
      <w:marLeft w:val="0"/>
      <w:marRight w:val="0"/>
      <w:marTop w:val="0"/>
      <w:marBottom w:val="0"/>
      <w:divBdr>
        <w:top w:val="none" w:sz="0" w:space="0" w:color="auto"/>
        <w:left w:val="none" w:sz="0" w:space="0" w:color="auto"/>
        <w:bottom w:val="none" w:sz="0" w:space="0" w:color="auto"/>
        <w:right w:val="none" w:sz="0" w:space="0" w:color="auto"/>
      </w:divBdr>
      <w:divsChild>
        <w:div w:id="1840267945">
          <w:marLeft w:val="0"/>
          <w:marRight w:val="0"/>
          <w:marTop w:val="0"/>
          <w:marBottom w:val="0"/>
          <w:divBdr>
            <w:top w:val="none" w:sz="0" w:space="0" w:color="auto"/>
            <w:left w:val="none" w:sz="0" w:space="0" w:color="auto"/>
            <w:bottom w:val="none" w:sz="0" w:space="0" w:color="auto"/>
            <w:right w:val="none" w:sz="0" w:space="0" w:color="auto"/>
          </w:divBdr>
        </w:div>
      </w:divsChild>
    </w:div>
    <w:div w:id="1954508849">
      <w:marLeft w:val="0"/>
      <w:marRight w:val="0"/>
      <w:marTop w:val="0"/>
      <w:marBottom w:val="0"/>
      <w:divBdr>
        <w:top w:val="none" w:sz="0" w:space="0" w:color="auto"/>
        <w:left w:val="none" w:sz="0" w:space="0" w:color="auto"/>
        <w:bottom w:val="none" w:sz="0" w:space="0" w:color="auto"/>
        <w:right w:val="none" w:sz="0" w:space="0" w:color="auto"/>
      </w:divBdr>
    </w:div>
    <w:div w:id="1954553569">
      <w:marLeft w:val="0"/>
      <w:marRight w:val="0"/>
      <w:marTop w:val="0"/>
      <w:marBottom w:val="0"/>
      <w:divBdr>
        <w:top w:val="none" w:sz="0" w:space="0" w:color="auto"/>
        <w:left w:val="none" w:sz="0" w:space="0" w:color="auto"/>
        <w:bottom w:val="none" w:sz="0" w:space="0" w:color="auto"/>
        <w:right w:val="none" w:sz="0" w:space="0" w:color="auto"/>
      </w:divBdr>
      <w:divsChild>
        <w:div w:id="1953659639">
          <w:marLeft w:val="0"/>
          <w:marRight w:val="0"/>
          <w:marTop w:val="0"/>
          <w:marBottom w:val="0"/>
          <w:divBdr>
            <w:top w:val="none" w:sz="0" w:space="0" w:color="auto"/>
            <w:left w:val="none" w:sz="0" w:space="0" w:color="auto"/>
            <w:bottom w:val="none" w:sz="0" w:space="0" w:color="auto"/>
            <w:right w:val="none" w:sz="0" w:space="0" w:color="auto"/>
          </w:divBdr>
        </w:div>
      </w:divsChild>
    </w:div>
    <w:div w:id="1957175565">
      <w:marLeft w:val="0"/>
      <w:marRight w:val="0"/>
      <w:marTop w:val="0"/>
      <w:marBottom w:val="0"/>
      <w:divBdr>
        <w:top w:val="none" w:sz="0" w:space="0" w:color="auto"/>
        <w:left w:val="none" w:sz="0" w:space="0" w:color="auto"/>
        <w:bottom w:val="none" w:sz="0" w:space="0" w:color="auto"/>
        <w:right w:val="none" w:sz="0" w:space="0" w:color="auto"/>
      </w:divBdr>
    </w:div>
    <w:div w:id="1971088425">
      <w:marLeft w:val="0"/>
      <w:marRight w:val="0"/>
      <w:marTop w:val="0"/>
      <w:marBottom w:val="0"/>
      <w:divBdr>
        <w:top w:val="none" w:sz="0" w:space="0" w:color="auto"/>
        <w:left w:val="none" w:sz="0" w:space="0" w:color="auto"/>
        <w:bottom w:val="none" w:sz="0" w:space="0" w:color="auto"/>
        <w:right w:val="none" w:sz="0" w:space="0" w:color="auto"/>
      </w:divBdr>
    </w:div>
    <w:div w:id="1972782750">
      <w:marLeft w:val="0"/>
      <w:marRight w:val="0"/>
      <w:marTop w:val="0"/>
      <w:marBottom w:val="0"/>
      <w:divBdr>
        <w:top w:val="none" w:sz="0" w:space="0" w:color="auto"/>
        <w:left w:val="none" w:sz="0" w:space="0" w:color="auto"/>
        <w:bottom w:val="none" w:sz="0" w:space="0" w:color="auto"/>
        <w:right w:val="none" w:sz="0" w:space="0" w:color="auto"/>
      </w:divBdr>
    </w:div>
    <w:div w:id="1973168248">
      <w:marLeft w:val="0"/>
      <w:marRight w:val="0"/>
      <w:marTop w:val="0"/>
      <w:marBottom w:val="0"/>
      <w:divBdr>
        <w:top w:val="none" w:sz="0" w:space="0" w:color="auto"/>
        <w:left w:val="none" w:sz="0" w:space="0" w:color="auto"/>
        <w:bottom w:val="none" w:sz="0" w:space="0" w:color="auto"/>
        <w:right w:val="none" w:sz="0" w:space="0" w:color="auto"/>
      </w:divBdr>
      <w:divsChild>
        <w:div w:id="914240505">
          <w:marLeft w:val="0"/>
          <w:marRight w:val="0"/>
          <w:marTop w:val="0"/>
          <w:marBottom w:val="0"/>
          <w:divBdr>
            <w:top w:val="none" w:sz="0" w:space="0" w:color="auto"/>
            <w:left w:val="none" w:sz="0" w:space="0" w:color="auto"/>
            <w:bottom w:val="none" w:sz="0" w:space="0" w:color="auto"/>
            <w:right w:val="none" w:sz="0" w:space="0" w:color="auto"/>
          </w:divBdr>
        </w:div>
      </w:divsChild>
    </w:div>
    <w:div w:id="1974289449">
      <w:marLeft w:val="0"/>
      <w:marRight w:val="0"/>
      <w:marTop w:val="0"/>
      <w:marBottom w:val="0"/>
      <w:divBdr>
        <w:top w:val="none" w:sz="0" w:space="0" w:color="auto"/>
        <w:left w:val="none" w:sz="0" w:space="0" w:color="auto"/>
        <w:bottom w:val="none" w:sz="0" w:space="0" w:color="auto"/>
        <w:right w:val="none" w:sz="0" w:space="0" w:color="auto"/>
      </w:divBdr>
    </w:div>
    <w:div w:id="1974946450">
      <w:marLeft w:val="0"/>
      <w:marRight w:val="0"/>
      <w:marTop w:val="0"/>
      <w:marBottom w:val="0"/>
      <w:divBdr>
        <w:top w:val="none" w:sz="0" w:space="0" w:color="auto"/>
        <w:left w:val="none" w:sz="0" w:space="0" w:color="auto"/>
        <w:bottom w:val="none" w:sz="0" w:space="0" w:color="auto"/>
        <w:right w:val="none" w:sz="0" w:space="0" w:color="auto"/>
      </w:divBdr>
    </w:div>
    <w:div w:id="1994721952">
      <w:marLeft w:val="0"/>
      <w:marRight w:val="0"/>
      <w:marTop w:val="0"/>
      <w:marBottom w:val="0"/>
      <w:divBdr>
        <w:top w:val="none" w:sz="0" w:space="0" w:color="auto"/>
        <w:left w:val="none" w:sz="0" w:space="0" w:color="auto"/>
        <w:bottom w:val="none" w:sz="0" w:space="0" w:color="auto"/>
        <w:right w:val="none" w:sz="0" w:space="0" w:color="auto"/>
      </w:divBdr>
    </w:div>
    <w:div w:id="2008560255">
      <w:marLeft w:val="0"/>
      <w:marRight w:val="0"/>
      <w:marTop w:val="0"/>
      <w:marBottom w:val="0"/>
      <w:divBdr>
        <w:top w:val="none" w:sz="0" w:space="0" w:color="auto"/>
        <w:left w:val="none" w:sz="0" w:space="0" w:color="auto"/>
        <w:bottom w:val="none" w:sz="0" w:space="0" w:color="auto"/>
        <w:right w:val="none" w:sz="0" w:space="0" w:color="auto"/>
      </w:divBdr>
    </w:div>
    <w:div w:id="2027634068">
      <w:bodyDiv w:val="1"/>
      <w:marLeft w:val="0"/>
      <w:marRight w:val="0"/>
      <w:marTop w:val="0"/>
      <w:marBottom w:val="0"/>
      <w:divBdr>
        <w:top w:val="none" w:sz="0" w:space="0" w:color="auto"/>
        <w:left w:val="none" w:sz="0" w:space="0" w:color="auto"/>
        <w:bottom w:val="none" w:sz="0" w:space="0" w:color="auto"/>
        <w:right w:val="none" w:sz="0" w:space="0" w:color="auto"/>
      </w:divBdr>
    </w:div>
    <w:div w:id="2041661257">
      <w:bodyDiv w:val="1"/>
      <w:marLeft w:val="0"/>
      <w:marRight w:val="0"/>
      <w:marTop w:val="0"/>
      <w:marBottom w:val="0"/>
      <w:divBdr>
        <w:top w:val="none" w:sz="0" w:space="0" w:color="auto"/>
        <w:left w:val="none" w:sz="0" w:space="0" w:color="auto"/>
        <w:bottom w:val="none" w:sz="0" w:space="0" w:color="auto"/>
        <w:right w:val="none" w:sz="0" w:space="0" w:color="auto"/>
      </w:divBdr>
      <w:divsChild>
        <w:div w:id="22171015">
          <w:marLeft w:val="0"/>
          <w:marRight w:val="0"/>
          <w:marTop w:val="0"/>
          <w:marBottom w:val="0"/>
          <w:divBdr>
            <w:top w:val="none" w:sz="0" w:space="0" w:color="auto"/>
            <w:left w:val="none" w:sz="0" w:space="0" w:color="auto"/>
            <w:bottom w:val="none" w:sz="0" w:space="0" w:color="auto"/>
            <w:right w:val="none" w:sz="0" w:space="0" w:color="auto"/>
          </w:divBdr>
        </w:div>
        <w:div w:id="1469013916">
          <w:marLeft w:val="0"/>
          <w:marRight w:val="0"/>
          <w:marTop w:val="0"/>
          <w:marBottom w:val="0"/>
          <w:divBdr>
            <w:top w:val="none" w:sz="0" w:space="0" w:color="auto"/>
            <w:left w:val="none" w:sz="0" w:space="0" w:color="auto"/>
            <w:bottom w:val="none" w:sz="0" w:space="0" w:color="auto"/>
            <w:right w:val="none" w:sz="0" w:space="0" w:color="auto"/>
          </w:divBdr>
        </w:div>
      </w:divsChild>
    </w:div>
    <w:div w:id="2043163228">
      <w:marLeft w:val="0"/>
      <w:marRight w:val="0"/>
      <w:marTop w:val="0"/>
      <w:marBottom w:val="0"/>
      <w:divBdr>
        <w:top w:val="none" w:sz="0" w:space="0" w:color="auto"/>
        <w:left w:val="none" w:sz="0" w:space="0" w:color="auto"/>
        <w:bottom w:val="none" w:sz="0" w:space="0" w:color="auto"/>
        <w:right w:val="none" w:sz="0" w:space="0" w:color="auto"/>
      </w:divBdr>
    </w:div>
    <w:div w:id="2055347492">
      <w:marLeft w:val="0"/>
      <w:marRight w:val="0"/>
      <w:marTop w:val="0"/>
      <w:marBottom w:val="0"/>
      <w:divBdr>
        <w:top w:val="none" w:sz="0" w:space="0" w:color="auto"/>
        <w:left w:val="none" w:sz="0" w:space="0" w:color="auto"/>
        <w:bottom w:val="none" w:sz="0" w:space="0" w:color="auto"/>
        <w:right w:val="none" w:sz="0" w:space="0" w:color="auto"/>
      </w:divBdr>
    </w:div>
    <w:div w:id="2058117941">
      <w:marLeft w:val="0"/>
      <w:marRight w:val="0"/>
      <w:marTop w:val="0"/>
      <w:marBottom w:val="0"/>
      <w:divBdr>
        <w:top w:val="none" w:sz="0" w:space="0" w:color="auto"/>
        <w:left w:val="none" w:sz="0" w:space="0" w:color="auto"/>
        <w:bottom w:val="none" w:sz="0" w:space="0" w:color="auto"/>
        <w:right w:val="none" w:sz="0" w:space="0" w:color="auto"/>
      </w:divBdr>
    </w:div>
    <w:div w:id="2061980983">
      <w:marLeft w:val="0"/>
      <w:marRight w:val="0"/>
      <w:marTop w:val="0"/>
      <w:marBottom w:val="0"/>
      <w:divBdr>
        <w:top w:val="none" w:sz="0" w:space="0" w:color="auto"/>
        <w:left w:val="none" w:sz="0" w:space="0" w:color="auto"/>
        <w:bottom w:val="none" w:sz="0" w:space="0" w:color="auto"/>
        <w:right w:val="none" w:sz="0" w:space="0" w:color="auto"/>
      </w:divBdr>
    </w:div>
    <w:div w:id="2068340522">
      <w:marLeft w:val="0"/>
      <w:marRight w:val="0"/>
      <w:marTop w:val="0"/>
      <w:marBottom w:val="0"/>
      <w:divBdr>
        <w:top w:val="none" w:sz="0" w:space="0" w:color="auto"/>
        <w:left w:val="none" w:sz="0" w:space="0" w:color="auto"/>
        <w:bottom w:val="none" w:sz="0" w:space="0" w:color="auto"/>
        <w:right w:val="none" w:sz="0" w:space="0" w:color="auto"/>
      </w:divBdr>
    </w:div>
    <w:div w:id="2069449299">
      <w:bodyDiv w:val="1"/>
      <w:marLeft w:val="0"/>
      <w:marRight w:val="0"/>
      <w:marTop w:val="0"/>
      <w:marBottom w:val="0"/>
      <w:divBdr>
        <w:top w:val="none" w:sz="0" w:space="0" w:color="auto"/>
        <w:left w:val="none" w:sz="0" w:space="0" w:color="auto"/>
        <w:bottom w:val="none" w:sz="0" w:space="0" w:color="auto"/>
        <w:right w:val="none" w:sz="0" w:space="0" w:color="auto"/>
      </w:divBdr>
    </w:div>
    <w:div w:id="2082749627">
      <w:marLeft w:val="0"/>
      <w:marRight w:val="0"/>
      <w:marTop w:val="0"/>
      <w:marBottom w:val="0"/>
      <w:divBdr>
        <w:top w:val="none" w:sz="0" w:space="0" w:color="auto"/>
        <w:left w:val="none" w:sz="0" w:space="0" w:color="auto"/>
        <w:bottom w:val="none" w:sz="0" w:space="0" w:color="auto"/>
        <w:right w:val="none" w:sz="0" w:space="0" w:color="auto"/>
      </w:divBdr>
    </w:div>
    <w:div w:id="2092657840">
      <w:marLeft w:val="0"/>
      <w:marRight w:val="0"/>
      <w:marTop w:val="0"/>
      <w:marBottom w:val="0"/>
      <w:divBdr>
        <w:top w:val="none" w:sz="0" w:space="0" w:color="auto"/>
        <w:left w:val="none" w:sz="0" w:space="0" w:color="auto"/>
        <w:bottom w:val="none" w:sz="0" w:space="0" w:color="auto"/>
        <w:right w:val="none" w:sz="0" w:space="0" w:color="auto"/>
      </w:divBdr>
      <w:divsChild>
        <w:div w:id="1673022656">
          <w:marLeft w:val="0"/>
          <w:marRight w:val="0"/>
          <w:marTop w:val="0"/>
          <w:marBottom w:val="0"/>
          <w:divBdr>
            <w:top w:val="none" w:sz="0" w:space="0" w:color="auto"/>
            <w:left w:val="none" w:sz="0" w:space="0" w:color="auto"/>
            <w:bottom w:val="none" w:sz="0" w:space="0" w:color="auto"/>
            <w:right w:val="none" w:sz="0" w:space="0" w:color="auto"/>
          </w:divBdr>
        </w:div>
      </w:divsChild>
    </w:div>
    <w:div w:id="2094280429">
      <w:marLeft w:val="0"/>
      <w:marRight w:val="0"/>
      <w:marTop w:val="0"/>
      <w:marBottom w:val="0"/>
      <w:divBdr>
        <w:top w:val="none" w:sz="0" w:space="0" w:color="auto"/>
        <w:left w:val="none" w:sz="0" w:space="0" w:color="auto"/>
        <w:bottom w:val="none" w:sz="0" w:space="0" w:color="auto"/>
        <w:right w:val="none" w:sz="0" w:space="0" w:color="auto"/>
      </w:divBdr>
      <w:divsChild>
        <w:div w:id="1045637316">
          <w:marLeft w:val="0"/>
          <w:marRight w:val="0"/>
          <w:marTop w:val="0"/>
          <w:marBottom w:val="0"/>
          <w:divBdr>
            <w:top w:val="none" w:sz="0" w:space="0" w:color="auto"/>
            <w:left w:val="none" w:sz="0" w:space="0" w:color="auto"/>
            <w:bottom w:val="none" w:sz="0" w:space="0" w:color="auto"/>
            <w:right w:val="none" w:sz="0" w:space="0" w:color="auto"/>
          </w:divBdr>
        </w:div>
      </w:divsChild>
    </w:div>
    <w:div w:id="2101171216">
      <w:marLeft w:val="0"/>
      <w:marRight w:val="0"/>
      <w:marTop w:val="0"/>
      <w:marBottom w:val="0"/>
      <w:divBdr>
        <w:top w:val="none" w:sz="0" w:space="0" w:color="auto"/>
        <w:left w:val="none" w:sz="0" w:space="0" w:color="auto"/>
        <w:bottom w:val="none" w:sz="0" w:space="0" w:color="auto"/>
        <w:right w:val="none" w:sz="0" w:space="0" w:color="auto"/>
      </w:divBdr>
    </w:div>
    <w:div w:id="2105956763">
      <w:marLeft w:val="0"/>
      <w:marRight w:val="0"/>
      <w:marTop w:val="0"/>
      <w:marBottom w:val="0"/>
      <w:divBdr>
        <w:top w:val="none" w:sz="0" w:space="0" w:color="auto"/>
        <w:left w:val="none" w:sz="0" w:space="0" w:color="auto"/>
        <w:bottom w:val="none" w:sz="0" w:space="0" w:color="auto"/>
        <w:right w:val="none" w:sz="0" w:space="0" w:color="auto"/>
      </w:divBdr>
    </w:div>
    <w:div w:id="2118014869">
      <w:bodyDiv w:val="1"/>
      <w:marLeft w:val="0"/>
      <w:marRight w:val="0"/>
      <w:marTop w:val="0"/>
      <w:marBottom w:val="0"/>
      <w:divBdr>
        <w:top w:val="none" w:sz="0" w:space="0" w:color="auto"/>
        <w:left w:val="none" w:sz="0" w:space="0" w:color="auto"/>
        <w:bottom w:val="none" w:sz="0" w:space="0" w:color="auto"/>
        <w:right w:val="none" w:sz="0" w:space="0" w:color="auto"/>
      </w:divBdr>
      <w:divsChild>
        <w:div w:id="1412463828">
          <w:marLeft w:val="0"/>
          <w:marRight w:val="0"/>
          <w:marTop w:val="0"/>
          <w:marBottom w:val="150"/>
          <w:divBdr>
            <w:top w:val="none" w:sz="0" w:space="0" w:color="auto"/>
            <w:left w:val="none" w:sz="0" w:space="0" w:color="auto"/>
            <w:bottom w:val="none" w:sz="0" w:space="0" w:color="auto"/>
            <w:right w:val="none" w:sz="0" w:space="0" w:color="auto"/>
          </w:divBdr>
          <w:divsChild>
            <w:div w:id="1570723444">
              <w:marLeft w:val="0"/>
              <w:marRight w:val="0"/>
              <w:marTop w:val="0"/>
              <w:marBottom w:val="0"/>
              <w:divBdr>
                <w:top w:val="none" w:sz="0" w:space="0" w:color="auto"/>
                <w:left w:val="none" w:sz="0" w:space="0" w:color="auto"/>
                <w:bottom w:val="none" w:sz="0" w:space="0" w:color="auto"/>
                <w:right w:val="none" w:sz="0" w:space="0" w:color="auto"/>
              </w:divBdr>
              <w:divsChild>
                <w:div w:id="350226712">
                  <w:marLeft w:val="0"/>
                  <w:marRight w:val="0"/>
                  <w:marTop w:val="0"/>
                  <w:marBottom w:val="0"/>
                  <w:divBdr>
                    <w:top w:val="none" w:sz="0" w:space="0" w:color="auto"/>
                    <w:left w:val="none" w:sz="0" w:space="0" w:color="auto"/>
                    <w:bottom w:val="none" w:sz="0" w:space="0" w:color="auto"/>
                    <w:right w:val="none" w:sz="0" w:space="0" w:color="auto"/>
                  </w:divBdr>
                  <w:divsChild>
                    <w:div w:id="16224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811227">
          <w:marLeft w:val="0"/>
          <w:marRight w:val="0"/>
          <w:marTop w:val="0"/>
          <w:marBottom w:val="0"/>
          <w:divBdr>
            <w:top w:val="none" w:sz="0" w:space="0" w:color="auto"/>
            <w:left w:val="none" w:sz="0" w:space="0" w:color="auto"/>
            <w:bottom w:val="none" w:sz="0" w:space="0" w:color="auto"/>
            <w:right w:val="none" w:sz="0" w:space="0" w:color="auto"/>
          </w:divBdr>
          <w:divsChild>
            <w:div w:id="99641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548914">
      <w:marLeft w:val="0"/>
      <w:marRight w:val="0"/>
      <w:marTop w:val="0"/>
      <w:marBottom w:val="0"/>
      <w:divBdr>
        <w:top w:val="none" w:sz="0" w:space="0" w:color="auto"/>
        <w:left w:val="none" w:sz="0" w:space="0" w:color="auto"/>
        <w:bottom w:val="none" w:sz="0" w:space="0" w:color="auto"/>
        <w:right w:val="none" w:sz="0" w:space="0" w:color="auto"/>
      </w:divBdr>
    </w:div>
    <w:div w:id="2130540572">
      <w:marLeft w:val="0"/>
      <w:marRight w:val="0"/>
      <w:marTop w:val="0"/>
      <w:marBottom w:val="0"/>
      <w:divBdr>
        <w:top w:val="none" w:sz="0" w:space="0" w:color="auto"/>
        <w:left w:val="none" w:sz="0" w:space="0" w:color="auto"/>
        <w:bottom w:val="none" w:sz="0" w:space="0" w:color="auto"/>
        <w:right w:val="none" w:sz="0" w:space="0" w:color="auto"/>
      </w:divBdr>
    </w:div>
    <w:div w:id="2137795278">
      <w:marLeft w:val="0"/>
      <w:marRight w:val="0"/>
      <w:marTop w:val="0"/>
      <w:marBottom w:val="0"/>
      <w:divBdr>
        <w:top w:val="none" w:sz="0" w:space="0" w:color="auto"/>
        <w:left w:val="none" w:sz="0" w:space="0" w:color="auto"/>
        <w:bottom w:val="none" w:sz="0" w:space="0" w:color="auto"/>
        <w:right w:val="none" w:sz="0" w:space="0" w:color="auto"/>
      </w:divBdr>
      <w:divsChild>
        <w:div w:id="1002006725">
          <w:marLeft w:val="0"/>
          <w:marRight w:val="0"/>
          <w:marTop w:val="0"/>
          <w:marBottom w:val="0"/>
          <w:divBdr>
            <w:top w:val="none" w:sz="0" w:space="0" w:color="auto"/>
            <w:left w:val="none" w:sz="0" w:space="0" w:color="auto"/>
            <w:bottom w:val="none" w:sz="0" w:space="0" w:color="auto"/>
            <w:right w:val="none" w:sz="0" w:space="0" w:color="auto"/>
          </w:divBdr>
        </w:div>
      </w:divsChild>
    </w:div>
    <w:div w:id="2143574092">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5E477B-2011-41EF-8FB9-2606F716B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23</Pages>
  <Words>9422</Words>
  <Characters>53712</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Knorr</dc:creator>
  <cp:keywords/>
  <dc:description/>
  <cp:lastModifiedBy>David Knorr</cp:lastModifiedBy>
  <cp:revision>4</cp:revision>
  <dcterms:created xsi:type="dcterms:W3CDTF">2021-10-08T15:20:00Z</dcterms:created>
  <dcterms:modified xsi:type="dcterms:W3CDTF">2021-10-08T19:52:00Z</dcterms:modified>
</cp:coreProperties>
</file>