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3A2000"/>
          <w:sz w:val="72"/>
        </w:rPr>
        <w:t>SimLex</w:t>
      </w:r>
    </w:p>
    <w:p>
      <w:pPr>
        <w:spacing w:before="0" w:after="60"/>
      </w:pPr>
      <w:r>
        <w:rPr>
          <w:rFonts w:ascii="Georgia" w:hAnsi="Georgia"/>
          <w:i/>
          <w:color w:val="7A5810"/>
          <w:sz w:val="36"/>
        </w:rPr>
        <w:t>Structural Simulation of Law</w:t>
      </w:r>
    </w:p>
    <w:p>
      <w:pPr>
        <w:spacing w:before="0" w:after="40"/>
      </w:pPr>
      <w:r>
        <w:rPr>
          <w:rFonts w:ascii="Georgia" w:hAnsi="Georgia"/>
          <w:color w:val="4A3808"/>
          <w:sz w:val="24"/>
        </w:rPr>
        <w:t>Technical Specification and Theoretical Reference  |  Version 1.0</w:t>
      </w:r>
    </w:p>
    <w:p>
      <w:pPr>
        <w:spacing w:before="0" w:after="280"/>
      </w:pPr>
      <w:r>
        <w:rPr>
          <w:rFonts w:ascii="Georgia" w:hAnsi="Georgia"/>
          <w:color w:val="A89070"/>
          <w:sz w:val="20"/>
        </w:rPr>
        <w:t>David R. Koepsell  |  SEAL Lab, Texas A&amp;M University  |  March 2026</w:t>
      </w:r>
    </w:p>
    <w:p>
      <w:pPr>
        <w:spacing w:before="120" w:after="120"/>
        <w:pBdr>
          <w:bottom w:val="single" w:sz="10" w:space="1" w:color="C49020"/>
        </w:pBdr>
      </w:pPr>
    </w:p>
    <w:p>
      <w:pPr>
        <w:spacing w:before="0" w:after="36"/>
      </w:pPr>
      <w:r>
        <w:rPr>
          <w:rFonts w:ascii="Georgia" w:hAnsi="Georgia"/>
          <w:b/>
          <w:i w:val="0"/>
          <w:color w:val="3A2000"/>
          <w:sz w:val="22"/>
        </w:rPr>
        <w:t xml:space="preserve">Abstract.  </w:t>
      </w:r>
      <w:r>
        <w:rPr>
          <w:rFonts w:ascii="Georgia" w:hAnsi="Georgia"/>
          <w:color w:val="3A2000"/>
          <w:sz w:val="22"/>
        </w:rPr>
        <w:t xml:space="preserve">SimLex is a standalone agent-based simulation platform grounded in </w:t>
      </w:r>
      <w:r>
        <w:rPr>
          <w:rFonts w:ascii="Georgia" w:hAnsi="Georgia"/>
          <w:b w:val="0"/>
          <w:i/>
          <w:color w:val="3A2000"/>
          <w:sz w:val="22"/>
        </w:rPr>
        <w:t>A Structural Ontology of the Law</w:t>
      </w:r>
      <w:r>
        <w:rPr>
          <w:rFonts w:ascii="Georgia" w:hAnsi="Georgia"/>
          <w:color w:val="3A2000"/>
          <w:sz w:val="22"/>
        </w:rPr>
        <w:t xml:space="preserve"> (SOoL; Koepsell, Palgrave, forthcoming). It models legal systems as populations of agents whose interactions generate and resolve obligations structured as eight-node Minimum Legal Chains (MLCs). Structural failures within the MLC are classified into thirteen typed contradiction modes derived directly from the SOoL typology. The simulation tracks three aggregate outputs -- Contradiction Debt (CD), the Institutional Resilience Index (IRI), and the Irreversible Accountability Test (IAT) score -- across eight legal architectures ranging from Rule of Law to Collapsed. A Science Hub module supports formal hypothesis testing using Welch t-tests, lag correlation analysis, and parameter sensitivity analysis. This document specifies the theoretical basis, agent and obligation models, architectural parameters, simulation loop mechanics, output metrics, statistical methodology, and known calibration issues in Version 1.0.</w:t>
      </w:r>
    </w:p>
    <w:p>
      <w:pPr>
        <w:spacing w:before="0" w:after="36"/>
      </w:pPr>
      <w:r>
        <w:rPr>
          <w:rFonts w:ascii="Georgia" w:hAnsi="Georgia"/>
          <w:b/>
          <w:i w:val="0"/>
          <w:color w:val="3A2000"/>
          <w:sz w:val="22"/>
        </w:rPr>
        <w:t xml:space="preserve">Keywords.  </w:t>
      </w:r>
      <w:r>
        <w:rPr>
          <w:rFonts w:ascii="Georgia" w:hAnsi="Georgia"/>
          <w:b w:val="0"/>
          <w:i/>
          <w:color w:val="3A2000"/>
          <w:sz w:val="22"/>
        </w:rPr>
        <w:t>legal ontology, agent-based modelling, Minimum Legal Chain, Contradiction Debt, Institutional Resilience Index, SOoL, structural jurisprudence</w:t>
      </w:r>
    </w:p>
    <w:p>
      <w:pPr>
        <w:spacing w:before="0" w:after="80"/>
      </w:pPr>
    </w:p>
    <w:p>
      <w:pPr>
        <w:spacing w:before="120" w:after="120"/>
        <w:pBdr>
          <w:bottom w:val="single" w:sz="10" w:space="1" w:color="C49020"/>
        </w:pBdr>
      </w:pPr>
    </w:p>
    <w:p>
      <w:pPr>
        <w:spacing w:before="480" w:after="160"/>
        <w:pBdr>
          <w:bottom w:val="single" w:sz="8" w:space="1" w:color="C49020"/>
        </w:pBdr>
      </w:pPr>
      <w:r>
        <w:rPr>
          <w:rFonts w:ascii="Georgia" w:hAnsi="Georgia"/>
          <w:b/>
          <w:color w:val="3A2000"/>
          <w:sz w:val="34"/>
        </w:rPr>
        <w:t>1.  Introduction</w:t>
      </w:r>
    </w:p>
    <w:p>
      <w:pPr>
        <w:spacing w:before="0" w:after="48"/>
      </w:pPr>
      <w:r>
        <w:rPr>
          <w:rFonts w:ascii="Georgia" w:hAnsi="Georgia"/>
          <w:color w:val="3A2000"/>
          <w:sz w:val="22"/>
        </w:rPr>
        <w:t xml:space="preserve">SimLex operationalises the diagnostic framework of </w:t>
      </w:r>
      <w:r>
        <w:rPr>
          <w:rFonts w:ascii="Georgia" w:hAnsi="Georgia"/>
          <w:b w:val="0"/>
          <w:i/>
          <w:color w:val="3A2000"/>
          <w:sz w:val="22"/>
        </w:rPr>
        <w:t>A Structural Ontology of the Law</w:t>
      </w:r>
      <w:r>
        <w:rPr>
          <w:rFonts w:ascii="Georgia" w:hAnsi="Georgia"/>
          <w:color w:val="3A2000"/>
          <w:sz w:val="22"/>
        </w:rPr>
        <w:t xml:space="preserve"> as a runnable simulation. The purpose is not to predict or describe any particular legal system but to test whether the structural relationships SOoL posits -- between authority architecture, normative agency, contradiction accumulation, and institutional resilience -- are coherent and produce theoretically expected dynamics under controlled conditions.</w:t>
      </w:r>
    </w:p>
    <w:p>
      <w:pPr>
        <w:spacing w:before="0" w:after="48"/>
      </w:pPr>
      <w:r>
        <w:rPr>
          <w:rFonts w:ascii="Georgia" w:hAnsi="Georgia"/>
          <w:color w:val="3A2000"/>
          <w:sz w:val="22"/>
        </w:rPr>
        <w:t>The simulation treats a legal system as an architecture within which agents form, execute, and resolve obligations. Each obligation is represented as an eight-node chain corresponding to the SOoL Minimum Legal Chain. Chain resolution is governed by node-level closure probabilities that are functions of the architectural type, agent properties, and simulation parameters. Failures to close specific nodes are classified into thirteen contradiction types, each carrying a Contradiction Debt weight. Aggregate CD, trust, and obligation fulfilment rates drive four IRI components, which are composed into a single structural health index.</w:t>
      </w:r>
    </w:p>
    <w:p>
      <w:pPr>
        <w:spacing w:before="0" w:after="48"/>
      </w:pPr>
      <w:r>
        <w:rPr>
          <w:rFonts w:ascii="Georgia" w:hAnsi="Georgia"/>
          <w:color w:val="3A2000"/>
          <w:sz w:val="22"/>
        </w:rPr>
        <w:t>SimLex is implemented as a self-contained HTML file with no server dependencies. It uses Three.js (r128) for three-dimensional agent visualisation and React 18 for the control interface. All simulation logic, statistical computation, and export functionality run client-side in the browser.</w:t>
      </w:r>
    </w:p>
    <w:p>
      <w:pPr>
        <w:spacing w:before="0" w:after="48"/>
      </w:pPr>
      <w:r>
        <w:rPr>
          <w:rFonts w:ascii="Georgia" w:hAnsi="Georgia"/>
          <w:color w:val="3A2000"/>
          <w:sz w:val="22"/>
        </w:rPr>
        <w:t>This specification documents Version 1.0, including known calibration issues identified during initial empirical runs across four architectures (244-1599 generations each). A calibration roadmap is included in Section 10.</w:t>
      </w:r>
    </w:p>
    <w:p>
      <w:pPr>
        <w:spacing w:before="480" w:after="160"/>
        <w:pBdr>
          <w:bottom w:val="single" w:sz="8" w:space="1" w:color="C49020"/>
        </w:pBdr>
      </w:pPr>
      <w:r>
        <w:rPr>
          <w:rFonts w:ascii="Georgia" w:hAnsi="Georgia"/>
          <w:b/>
          <w:color w:val="3A2000"/>
          <w:sz w:val="34"/>
        </w:rPr>
        <w:t>2.  Theoretical Framework</w:t>
      </w:r>
    </w:p>
    <w:p>
      <w:pPr>
        <w:spacing w:before="360" w:after="120"/>
      </w:pPr>
      <w:r>
        <w:rPr>
          <w:rFonts w:ascii="Georgia" w:hAnsi="Georgia"/>
          <w:b/>
          <w:color w:val="7A5810"/>
          <w:sz w:val="26"/>
        </w:rPr>
        <w:t>2.1  A Structural Ontology of the Law</w:t>
      </w:r>
    </w:p>
    <w:p>
      <w:pPr>
        <w:spacing w:before="0" w:after="48"/>
      </w:pPr>
      <w:r>
        <w:rPr>
          <w:rFonts w:ascii="Georgia" w:hAnsi="Georgia"/>
          <w:color w:val="3A2000"/>
          <w:sz w:val="22"/>
        </w:rPr>
        <w:t xml:space="preserve">SOoL develops a formal ontology of law grounded in Basic Formal Ontology (BFO). Its core claim is that legal entities are </w:t>
      </w:r>
      <w:r>
        <w:rPr>
          <w:rFonts w:ascii="Georgia" w:hAnsi="Georgia"/>
          <w:b w:val="0"/>
          <w:i/>
          <w:color w:val="3A2000"/>
          <w:sz w:val="22"/>
        </w:rPr>
        <w:t>specifically dependent continuants</w:t>
      </w:r>
      <w:r>
        <w:rPr>
          <w:rFonts w:ascii="Georgia" w:hAnsi="Georgia"/>
          <w:color w:val="3A2000"/>
          <w:sz w:val="22"/>
        </w:rPr>
        <w:t xml:space="preserve"> -- they depend for their existence on the bearer agents and institutional contexts that instantiate them. Legal norms, rights, duties, and powers do not exist independently; they are structurally anchored in chains of recognition, obligation, and repair that run from an authorising source to a remedial endpoint.</w:t>
      </w:r>
    </w:p>
    <w:p>
      <w:pPr>
        <w:spacing w:before="0" w:after="48"/>
      </w:pPr>
      <w:r>
        <w:rPr>
          <w:rFonts w:ascii="Georgia" w:hAnsi="Georgia"/>
          <w:color w:val="3A2000"/>
          <w:sz w:val="22"/>
        </w:rPr>
        <w:t>The diagnostic value of SOoL is its ability to assess the structural integrity of a legal system -- whether its chains are coherent, complete, and capable of closure -- independently of any evaluation of the substantive justice of the norms it contains. This is what the simulation models: structural health, not normative virtue.</w:t>
      </w:r>
    </w:p>
    <w:p>
      <w:pPr>
        <w:spacing w:before="360" w:after="120"/>
      </w:pPr>
      <w:r>
        <w:rPr>
          <w:rFonts w:ascii="Georgia" w:hAnsi="Georgia"/>
          <w:b/>
          <w:color w:val="7A5810"/>
          <w:sz w:val="26"/>
        </w:rPr>
        <w:t>2.2  The Minimum Legal Chain (MLC)</w:t>
      </w:r>
    </w:p>
    <w:p>
      <w:pPr>
        <w:spacing w:before="0" w:after="48"/>
      </w:pPr>
      <w:r>
        <w:rPr>
          <w:rFonts w:ascii="Georgia" w:hAnsi="Georgia"/>
          <w:color w:val="3A2000"/>
          <w:sz w:val="22"/>
        </w:rPr>
        <w:t>The MLC is the minimal sequence of ontological conditions that must be satisfied for a legal obligation to be structurally complete -- from a legitimate source of authority to an enforceable remedy. SOoL posits eight necessary nodes:</w:t>
      </w:r>
    </w:p>
    <w:p>
      <w:pPr>
        <w:spacing w:before="0"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Node</w:t>
            </w:r>
          </w:p>
        </w:tc>
        <w:tc>
          <w:tcPr>
            <w:tcW w:type="dxa" w:w="79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Short</w:t>
            </w:r>
          </w:p>
        </w:tc>
        <w:tc>
          <w:tcPr>
            <w:tcW w:type="dxa" w:w="158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Cluster</w:t>
            </w:r>
          </w:p>
        </w:tc>
        <w:tc>
          <w:tcPr>
            <w:tcW w:type="dxa" w:w="576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Ontological role</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Auth</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AUTHORITY</w:t>
            </w:r>
          </w:p>
        </w:tc>
        <w:tc>
          <w:tcPr>
            <w:tcW w:type="dxa" w:w="57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Source of authority -- the institutional ground of norm-issuance</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2</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Norm</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AUTHORITY</w:t>
            </w:r>
          </w:p>
        </w:tc>
        <w:tc>
          <w:tcPr>
            <w:tcW w:type="dxa" w:w="57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Norm -- the specific rule or standard issued</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3</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Actor</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AUTHORITY</w:t>
            </w:r>
          </w:p>
        </w:tc>
        <w:tc>
          <w:tcPr>
            <w:tcW w:type="dxa" w:w="57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Actor in Role -- the agent bearing the norm-governed capacity</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4</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Trig</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EFFECT</w:t>
            </w:r>
          </w:p>
        </w:tc>
        <w:tc>
          <w:tcPr>
            <w:tcW w:type="dxa" w:w="57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Triggering Facts -- the circumstances activating the norm</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5</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Act</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EFFECT</w:t>
            </w:r>
          </w:p>
        </w:tc>
        <w:tc>
          <w:tcPr>
            <w:tcW w:type="dxa" w:w="57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Legal Act or Omission -- the conduct that instantiates the trigger</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6</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Recog</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RECOGNITION</w:t>
            </w:r>
          </w:p>
        </w:tc>
        <w:tc>
          <w:tcPr>
            <w:tcW w:type="dxa" w:w="57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Target / Recognition -- acknowledgment of the obligation by its bearer</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7</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Eff</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RECOGNITION</w:t>
            </w:r>
          </w:p>
        </w:tc>
        <w:tc>
          <w:tcPr>
            <w:tcW w:type="dxa" w:w="57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Legal Effect -- the normative consequence that obtains</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8</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Rem</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REPAIR</w:t>
            </w:r>
          </w:p>
        </w:tc>
        <w:tc>
          <w:tcPr>
            <w:tcW w:type="dxa" w:w="57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Remedy -- the mechanism for restoring structural coherence on breach</w:t>
            </w:r>
          </w:p>
        </w:tc>
      </w:tr>
    </w:tbl>
    <w:p>
      <w:pPr>
        <w:spacing w:before="0" w:after="80"/>
      </w:pPr>
    </w:p>
    <w:p>
      <w:pPr>
        <w:spacing w:before="0" w:after="48"/>
      </w:pPr>
      <w:r>
        <w:rPr>
          <w:rFonts w:ascii="Georgia" w:hAnsi="Georgia"/>
          <w:color w:val="3A2000"/>
          <w:sz w:val="22"/>
        </w:rPr>
        <w:t>The four MLC clusters correspond to distinct functional sub-systems: AUTHORITY generates norms; EFFECT triggers obligations; RECOGNITION makes obligations operative on specific parties; REPAIR restores coherence when obligations are breached. A failure at any node propagates structurally and registers as Contradiction Debt.</w:t>
      </w:r>
    </w:p>
    <w:p>
      <w:pPr>
        <w:spacing w:before="360" w:after="120"/>
      </w:pPr>
      <w:r>
        <w:rPr>
          <w:rFonts w:ascii="Georgia" w:hAnsi="Georgia"/>
          <w:b/>
          <w:color w:val="7A5810"/>
          <w:sz w:val="26"/>
        </w:rPr>
        <w:t>2.3  Contradiction Debt (CD)</w:t>
      </w:r>
    </w:p>
    <w:p>
      <w:pPr>
        <w:spacing w:before="0" w:after="48"/>
      </w:pPr>
      <w:r>
        <w:rPr>
          <w:rFonts w:ascii="Georgia" w:hAnsi="Georgia"/>
          <w:color w:val="3A2000"/>
          <w:sz w:val="22"/>
        </w:rPr>
        <w:t xml:space="preserve">Contradiction Debt is SOoL's quantitative measure of structural ontological instability. It is defined as the accumulated unresolved contradiction load within a legal architecture -- the sum of weighted failures across all active MLC chains. CD is an </w:t>
      </w:r>
      <w:r>
        <w:rPr>
          <w:rFonts w:ascii="Georgia" w:hAnsi="Georgia"/>
          <w:b w:val="0"/>
          <w:i/>
          <w:color w:val="3A2000"/>
          <w:sz w:val="22"/>
        </w:rPr>
        <w:t>ontological</w:t>
      </w:r>
      <w:r>
        <w:rPr>
          <w:rFonts w:ascii="Georgia" w:hAnsi="Georgia"/>
          <w:color w:val="3A2000"/>
          <w:sz w:val="22"/>
        </w:rPr>
        <w:t xml:space="preserve"> measure, not a moral one: a system may have high CD while producing outcomes conventionally considered just, and low CD while producing outcomes considered unjust. The measure evaluates structural coherence, not normative content.</w:t>
      </w:r>
    </w:p>
    <w:p>
      <w:pPr>
        <w:spacing w:before="0" w:after="48"/>
      </w:pPr>
      <w:r>
        <w:rPr>
          <w:rFonts w:ascii="Georgia" w:hAnsi="Georgia"/>
          <w:color w:val="3A2000"/>
          <w:sz w:val="22"/>
        </w:rPr>
        <w:t>In the simulation, CD is tracked at the agent level and aggregated to a population mean. Each contradiction event increments an agent's CD by the type-specific weight (cdW) scaled by the architecture's CD multiplier (cdMult).</w:t>
      </w:r>
    </w:p>
    <w:p>
      <w:pPr>
        <w:spacing w:before="360" w:after="120"/>
      </w:pPr>
      <w:r>
        <w:rPr>
          <w:rFonts w:ascii="Georgia" w:hAnsi="Georgia"/>
          <w:b/>
          <w:color w:val="7A5810"/>
          <w:sz w:val="26"/>
        </w:rPr>
        <w:t>2.4  The Institutional Resilience Index (IRI)</w:t>
      </w:r>
    </w:p>
    <w:p>
      <w:pPr>
        <w:spacing w:before="0" w:after="48"/>
      </w:pPr>
      <w:r>
        <w:rPr>
          <w:rFonts w:ascii="Georgia" w:hAnsi="Georgia"/>
          <w:color w:val="3A2000"/>
          <w:sz w:val="22"/>
        </w:rPr>
        <w:t>The IRI measures a legal system's capacity to detect, absorb, and repair contradictions. SOoL specifies four components:</w:t>
      </w:r>
    </w:p>
    <w:p>
      <w:pPr>
        <w:pStyle w:val="ListBullet"/>
        <w:spacing w:before="0" w:after="80"/>
      </w:pPr>
      <w:r>
        <w:rPr>
          <w:rFonts w:ascii="Georgia" w:hAnsi="Georgia"/>
          <w:b/>
          <w:i w:val="0"/>
          <w:color w:val="3A2000"/>
          <w:sz w:val="22"/>
        </w:rPr>
        <w:t xml:space="preserve">Detection Latency (DL):  </w:t>
      </w:r>
      <w:r>
        <w:rPr>
          <w:rFonts w:ascii="Georgia" w:hAnsi="Georgia"/>
          <w:color w:val="3A2000"/>
          <w:sz w:val="22"/>
        </w:rPr>
        <w:t>How quickly the system identifies contradiction events. Measured as inverse of mean detection lag.</w:t>
      </w:r>
    </w:p>
    <w:p>
      <w:pPr>
        <w:pStyle w:val="ListBullet"/>
        <w:spacing w:before="0" w:after="80"/>
      </w:pPr>
      <w:r>
        <w:rPr>
          <w:rFonts w:ascii="Georgia" w:hAnsi="Georgia"/>
          <w:b/>
          <w:i w:val="0"/>
          <w:color w:val="3A2000"/>
          <w:sz w:val="22"/>
        </w:rPr>
        <w:t xml:space="preserve">Repair Efficiency (RE):  </w:t>
      </w:r>
      <w:r>
        <w:rPr>
          <w:rFonts w:ascii="Georgia" w:hAnsi="Georgia"/>
          <w:color w:val="3A2000"/>
          <w:sz w:val="22"/>
        </w:rPr>
        <w:t>The ratio of successfully repaired chains to total chains that entered a failure state.</w:t>
      </w:r>
    </w:p>
    <w:p>
      <w:pPr>
        <w:pStyle w:val="ListBullet"/>
        <w:spacing w:before="0" w:after="80"/>
      </w:pPr>
      <w:r>
        <w:rPr>
          <w:rFonts w:ascii="Georgia" w:hAnsi="Georgia"/>
          <w:b/>
          <w:i w:val="0"/>
          <w:color w:val="3A2000"/>
          <w:sz w:val="22"/>
        </w:rPr>
        <w:t xml:space="preserve">Coherence Retention (CR):  </w:t>
      </w:r>
      <w:r>
        <w:rPr>
          <w:rFonts w:ascii="Georgia" w:hAnsi="Georgia"/>
          <w:color w:val="3A2000"/>
          <w:sz w:val="22"/>
        </w:rPr>
        <w:t>Mean population legal coherence -- the baseline structural health of the agent population.</w:t>
      </w:r>
    </w:p>
    <w:p>
      <w:pPr>
        <w:pStyle w:val="ListBullet"/>
        <w:spacing w:before="0" w:after="80"/>
      </w:pPr>
      <w:r>
        <w:rPr>
          <w:rFonts w:ascii="Georgia" w:hAnsi="Georgia"/>
          <w:b/>
          <w:i w:val="0"/>
          <w:color w:val="3A2000"/>
          <w:sz w:val="22"/>
        </w:rPr>
        <w:t xml:space="preserve">CD Stability (CD Score):  </w:t>
      </w:r>
      <w:r>
        <w:rPr>
          <w:rFonts w:ascii="Georgia" w:hAnsi="Georgia"/>
          <w:color w:val="3A2000"/>
          <w:sz w:val="22"/>
        </w:rPr>
        <w:t>Inverse of mean population Contradiction Debt.</w:t>
      </w:r>
    </w:p>
    <w:p>
      <w:pPr>
        <w:spacing w:before="0" w:after="80"/>
      </w:pPr>
    </w:p>
    <w:p>
      <w:pPr>
        <w:spacing w:before="0" w:after="48"/>
      </w:pPr>
      <w:r>
        <w:rPr>
          <w:rFonts w:ascii="Georgia" w:hAnsi="Georgia"/>
          <w:color w:val="3A2000"/>
          <w:sz w:val="22"/>
        </w:rPr>
        <w:t>These are composed into a weighted composite:</w:t>
      </w:r>
    </w:p>
    <w:p>
      <w:pPr>
        <w:jc w:val="center"/>
        <w:spacing w:before="100" w:after="100"/>
      </w:pPr>
      <w:r>
        <w:rPr>
          <w:rFonts w:ascii="Courier New" w:hAnsi="Courier New"/>
          <w:b/>
          <w:color w:val="7A5810"/>
          <w:sz w:val="22"/>
        </w:rPr>
        <w:t>IRI = 0.30 x RE + 0.30 x CR + 0.20 x DL + 0.20 x CDScore</w:t>
      </w:r>
    </w:p>
    <w:p>
      <w:pPr>
        <w:spacing w:before="0" w:after="48"/>
      </w:pPr>
      <w:r>
        <w:rPr>
          <w:rFonts w:ascii="Georgia" w:hAnsi="Georgia"/>
          <w:color w:val="3A2000"/>
          <w:sz w:val="22"/>
        </w:rPr>
        <w:t>The weights reflect SOoL's theoretical priority: repair and coherence are primary structural capacities; detection and debt management are secondary supports.</w:t>
      </w:r>
    </w:p>
    <w:p>
      <w:pPr>
        <w:spacing w:before="360" w:after="120"/>
      </w:pPr>
      <w:r>
        <w:rPr>
          <w:rFonts w:ascii="Georgia" w:hAnsi="Georgia"/>
          <w:b/>
          <w:color w:val="7A5810"/>
          <w:sz w:val="26"/>
        </w:rPr>
        <w:t>2.5  The Irreversible Accountability Test (IAT)</w:t>
      </w:r>
    </w:p>
    <w:p>
      <w:pPr>
        <w:spacing w:before="0" w:after="48"/>
      </w:pPr>
      <w:r>
        <w:rPr>
          <w:rFonts w:ascii="Georgia" w:hAnsi="Georgia"/>
          <w:color w:val="3A2000"/>
          <w:sz w:val="22"/>
        </w:rPr>
        <w:t>The IAT is SOoL's formal test for normative agency -- the condition under which an entity can be held structurally accountable for an obligation. Four necessary conditions must all be satisfied:</w:t>
      </w:r>
    </w:p>
    <w:p>
      <w:pPr>
        <w:pStyle w:val="ListBullet"/>
        <w:spacing w:before="0" w:after="80"/>
      </w:pPr>
      <w:r>
        <w:rPr>
          <w:rFonts w:ascii="Georgia" w:hAnsi="Georgia"/>
          <w:b/>
          <w:i w:val="0"/>
          <w:color w:val="3A2000"/>
          <w:sz w:val="22"/>
        </w:rPr>
        <w:t xml:space="preserve">Standing:  </w:t>
      </w:r>
      <w:r>
        <w:rPr>
          <w:rFonts w:ascii="Georgia" w:hAnsi="Georgia"/>
          <w:color w:val="3A2000"/>
          <w:sz w:val="22"/>
        </w:rPr>
        <w:t>The agent occupies a legally recognised role that grounds the obligation.</w:t>
      </w:r>
    </w:p>
    <w:p>
      <w:pPr>
        <w:pStyle w:val="ListBullet"/>
        <w:spacing w:before="0" w:after="80"/>
      </w:pPr>
      <w:r>
        <w:rPr>
          <w:rFonts w:ascii="Georgia" w:hAnsi="Georgia"/>
          <w:b/>
          <w:i w:val="0"/>
          <w:color w:val="3A2000"/>
          <w:sz w:val="22"/>
        </w:rPr>
        <w:t xml:space="preserve">Attributable Breach:  </w:t>
      </w:r>
      <w:r>
        <w:rPr>
          <w:rFonts w:ascii="Georgia" w:hAnsi="Georgia"/>
          <w:color w:val="3A2000"/>
          <w:sz w:val="22"/>
        </w:rPr>
        <w:t>The agent's conduct can be structurally attributed to a specific node failure.</w:t>
      </w:r>
    </w:p>
    <w:p>
      <w:pPr>
        <w:pStyle w:val="ListBullet"/>
        <w:spacing w:before="0" w:after="80"/>
      </w:pPr>
      <w:r>
        <w:rPr>
          <w:rFonts w:ascii="Georgia" w:hAnsi="Georgia"/>
          <w:b/>
          <w:i w:val="0"/>
          <w:color w:val="3A2000"/>
          <w:sz w:val="22"/>
        </w:rPr>
        <w:t xml:space="preserve">Enduring Non-Resettable Residue:  </w:t>
      </w:r>
      <w:r>
        <w:rPr>
          <w:rFonts w:ascii="Georgia" w:hAnsi="Georgia"/>
          <w:color w:val="3A2000"/>
          <w:sz w:val="22"/>
        </w:rPr>
        <w:t>The breach leaves a structural remainder that persists after the event.</w:t>
      </w:r>
    </w:p>
    <w:p>
      <w:pPr>
        <w:pStyle w:val="ListBullet"/>
        <w:spacing w:before="0" w:after="80"/>
      </w:pPr>
      <w:r>
        <w:rPr>
          <w:rFonts w:ascii="Georgia" w:hAnsi="Georgia"/>
          <w:b/>
          <w:i w:val="0"/>
          <w:color w:val="3A2000"/>
          <w:sz w:val="22"/>
        </w:rPr>
        <w:t xml:space="preserve">Repair Capacity:  </w:t>
      </w:r>
      <w:r>
        <w:rPr>
          <w:rFonts w:ascii="Georgia" w:hAnsi="Georgia"/>
          <w:color w:val="3A2000"/>
          <w:sz w:val="22"/>
        </w:rPr>
        <w:t>The agent has the capacity to participate in a repair mechanism.</w:t>
      </w:r>
    </w:p>
    <w:p>
      <w:pPr>
        <w:pStyle w:val="ListBullet"/>
        <w:spacing w:before="0" w:after="80"/>
      </w:pPr>
      <w:r>
        <w:rPr>
          <w:rFonts w:ascii="Georgia" w:hAnsi="Georgia"/>
          <w:b/>
          <w:i w:val="0"/>
          <w:color w:val="3A2000"/>
          <w:sz w:val="22"/>
        </w:rPr>
        <w:t xml:space="preserve">Counterfactual Control:  </w:t>
      </w:r>
      <w:r>
        <w:rPr>
          <w:rFonts w:ascii="Georgia" w:hAnsi="Georgia"/>
          <w:color w:val="3A2000"/>
          <w:sz w:val="22"/>
        </w:rPr>
        <w:t>The agent had control over whether the breach occurred.</w:t>
      </w:r>
    </w:p>
    <w:p>
      <w:pPr>
        <w:spacing w:before="0" w:after="80"/>
      </w:pPr>
    </w:p>
    <w:p>
      <w:pPr>
        <w:spacing w:before="0" w:after="48"/>
      </w:pPr>
      <w:r>
        <w:rPr>
          <w:rFonts w:ascii="Georgia" w:hAnsi="Georgia"/>
          <w:color w:val="3A2000"/>
          <w:sz w:val="22"/>
        </w:rPr>
        <w:t>In the simulation, IAT score is computed as the mean of four agent attributes: standing, repairCapacity, endurance (enduring residue), and counterfactualCtrl. Attributable breach is not tracked separately -- in the simulation context, every denial event is by construction attributable to the issuing agent. Agents whose IAT score meets or exceeds the configurable threshold are classified as normative agents.</w:t>
      </w:r>
    </w:p>
    <w:p>
      <w:pPr>
        <w:spacing w:before="360" w:after="120"/>
      </w:pPr>
      <w:r>
        <w:rPr>
          <w:rFonts w:ascii="Georgia" w:hAnsi="Georgia"/>
          <w:b/>
          <w:color w:val="7A5810"/>
          <w:sz w:val="26"/>
        </w:rPr>
        <w:t>2.6  Thirteen Contradiction Types</w:t>
      </w:r>
    </w:p>
    <w:p>
      <w:pPr>
        <w:spacing w:before="0" w:after="48"/>
      </w:pPr>
      <w:r>
        <w:rPr>
          <w:rFonts w:ascii="Georgia" w:hAnsi="Georgia"/>
          <w:color w:val="3A2000"/>
          <w:sz w:val="22"/>
        </w:rPr>
        <w:t>SOoL's contradiction typology identifies thirteen structurally distinct failure modes, each indexed to specific MLC node failures:</w:t>
      </w:r>
    </w:p>
    <w:p>
      <w:pPr>
        <w:spacing w:before="0" w:after="8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Code</w:t>
            </w:r>
          </w:p>
        </w:tc>
        <w:tc>
          <w:tcPr>
            <w:tcW w:type="dxa" w:w="244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Label</w:t>
            </w:r>
          </w:p>
        </w:tc>
        <w:tc>
          <w:tcPr>
            <w:tcW w:type="dxa" w:w="136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Failed nodes</w:t>
            </w:r>
          </w:p>
        </w:tc>
        <w:tc>
          <w:tcPr>
            <w:tcW w:type="dxa" w:w="93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CD weight</w:t>
            </w:r>
          </w:p>
        </w:tc>
        <w:tc>
          <w:tcPr>
            <w:tcW w:type="dxa" w:w="482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Structural interpretation</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CF</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Conferral Failure</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0, 1</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0.15</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Authority cannot confer the norm -- ground of issuance broken</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AI</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Authority Inflation</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0.12</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Authority claimed exceeds legitimate scope</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JC</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Jurisdictional Contradiction</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Norm conflicts internally or with co-existing norm</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RV</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Role Vacancy</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2</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0.08</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No agent occupies the role required to bear the norm</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TA</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Triggering Ambiguity</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3</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0.07</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Conditions of application are indeterminate</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AE</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Act-Effect Mismatch</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4</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0.09</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Conduct does not produce the stipulated legal effect</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CC</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Correlativity Contradiction</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5, 6</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0.14</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Right/duty correlation broken between Nodes 6-7</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RF</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Recognition Failure</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5</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0.11</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Target does not or cannot recognise the obligation</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EN</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Effect Nullification</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6</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Legal effect fails to obtain despite recognition</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RPF</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Repair Failure</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7</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0.13</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Remedy mechanism fails or is unavailable</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RC</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Retroactive Contradiction</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3, 4</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0.11</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Prior legal act retroactively rendered incoherent</w:t>
            </w:r>
          </w:p>
        </w:tc>
      </w:tr>
      <w:tr>
        <w:tc>
          <w:tcPr>
            <w:tcW w:type="dxa" w:w="57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RGR</w:t>
            </w:r>
          </w:p>
        </w:tc>
        <w:tc>
          <w:tcPr>
            <w:tcW w:type="dxa" w:w="244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Recht/Gesetz Rupture</w:t>
            </w:r>
          </w:p>
        </w:tc>
        <w:tc>
          <w:tcPr>
            <w:tcW w:type="dxa" w:w="13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0, 5, 6</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0.18</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Authority and recognition cluster simultaneously severed</w:t>
            </w:r>
          </w:p>
        </w:tc>
      </w:tr>
      <w:tr>
        <w:tc>
          <w:tcPr>
            <w:tcW w:type="dxa" w:w="57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CS</w:t>
            </w:r>
          </w:p>
        </w:tc>
        <w:tc>
          <w:tcPr>
            <w:tcW w:type="dxa" w:w="244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Chain Severance</w:t>
            </w:r>
          </w:p>
        </w:tc>
        <w:tc>
          <w:tcPr>
            <w:tcW w:type="dxa" w:w="13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 (&gt;=6)</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0.25</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Wholesale chain collapse -- structural incoherence throughout</w:t>
            </w:r>
          </w:p>
        </w:tc>
      </w:tr>
    </w:tbl>
    <w:p>
      <w:pPr>
        <w:spacing w:before="0" w:after="80"/>
      </w:pPr>
    </w:p>
    <w:p>
      <w:pPr>
        <w:spacing w:before="80" w:after="120"/>
        <w:ind w:left="360" w:right="360"/>
        <w:pBdr>
          <w:left w:val="single" w:sz="20" w:space="8" w:color="C49020"/>
        </w:pBdr>
      </w:pPr>
      <w:r>
        <w:rPr>
          <w:rFonts w:ascii="Georgia" w:hAnsi="Georgia"/>
          <w:i/>
          <w:color w:val="4A3808"/>
          <w:sz w:val="20"/>
        </w:rPr>
        <w:t>The Recht/Gesetz Rupture (RGR) encodes SOoL's structural diagnosis of authoritarianism: it fires when authority and recognition fail simultaneously, representing the condition where the formal apparatus of law loses contact with the recognition capacity of its subjects.</w:t>
      </w:r>
    </w:p>
    <w:p>
      <w:pPr>
        <w:spacing w:before="480" w:after="160"/>
        <w:pBdr>
          <w:bottom w:val="single" w:sz="8" w:space="1" w:color="C49020"/>
        </w:pBdr>
      </w:pPr>
      <w:r>
        <w:rPr>
          <w:rFonts w:ascii="Georgia" w:hAnsi="Georgia"/>
          <w:b/>
          <w:color w:val="3A2000"/>
          <w:sz w:val="34"/>
        </w:rPr>
        <w:t>3.  System Architecture</w:t>
      </w:r>
    </w:p>
    <w:p>
      <w:pPr>
        <w:spacing w:before="360" w:after="120"/>
      </w:pPr>
      <w:r>
        <w:rPr>
          <w:rFonts w:ascii="Georgia" w:hAnsi="Georgia"/>
          <w:b/>
          <w:color w:val="7A5810"/>
          <w:sz w:val="26"/>
        </w:rPr>
        <w:t>3.1  Technology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Component</w:t>
            </w:r>
          </w:p>
        </w:tc>
        <w:tc>
          <w:tcPr>
            <w:tcW w:type="dxa" w:w="259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Technology</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Version</w:t>
            </w:r>
          </w:p>
        </w:tc>
        <w:tc>
          <w:tcPr>
            <w:tcW w:type="dxa" w:w="367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Role</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Simulation engine</w:t>
            </w:r>
          </w:p>
        </w:tc>
        <w:tc>
          <w:tcPr>
            <w:tcW w:type="dxa" w:w="25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Vanilla JavaScript (class-based)</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ES2020</w:t>
            </w:r>
          </w:p>
        </w:tc>
        <w:tc>
          <w:tcPr>
            <w:tcW w:type="dxa" w:w="36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All agent, obligation, and step logic</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3D visualisation</w:t>
            </w:r>
          </w:p>
        </w:tc>
        <w:tc>
          <w:tcPr>
            <w:tcW w:type="dxa" w:w="25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Three.js</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r128</w:t>
            </w:r>
          </w:p>
        </w:tc>
        <w:tc>
          <w:tcPr>
            <w:tcW w:type="dxa" w:w="36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Agent world rendering, orbital camera</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UI framework</w:t>
            </w:r>
          </w:p>
        </w:tc>
        <w:tc>
          <w:tcPr>
            <w:tcW w:type="dxa" w:w="25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React</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18.2.0</w:t>
            </w:r>
          </w:p>
        </w:tc>
        <w:tc>
          <w:tcPr>
            <w:tcW w:type="dxa" w:w="36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Control panels, stats display, overlays</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Statistical module</w:t>
            </w:r>
          </w:p>
        </w:tc>
        <w:tc>
          <w:tcPr>
            <w:tcW w:type="dxa" w:w="25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Vanilla JavaScript</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t>
            </w:r>
          </w:p>
        </w:tc>
        <w:tc>
          <w:tcPr>
            <w:tcW w:type="dxa" w:w="36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 t-test, Pearson r, lag correlation</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Export</w:t>
            </w:r>
          </w:p>
        </w:tc>
        <w:tc>
          <w:tcPr>
            <w:tcW w:type="dxa" w:w="25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Browser Blob / CSV</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t>
            </w:r>
          </w:p>
        </w:tc>
        <w:tc>
          <w:tcPr>
            <w:tcW w:type="dxa" w:w="36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Time-series and hypothesis result export</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Fonts</w:t>
            </w:r>
          </w:p>
        </w:tc>
        <w:tc>
          <w:tcPr>
            <w:tcW w:type="dxa" w:w="25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Google Fonts (CDN)</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t>
            </w:r>
          </w:p>
        </w:tc>
        <w:tc>
          <w:tcPr>
            <w:tcW w:type="dxa" w:w="36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Cormorant Garamond, Crimson Pro, JetBrains Mono</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Distribution</w:t>
            </w:r>
          </w:p>
        </w:tc>
        <w:tc>
          <w:tcPr>
            <w:tcW w:type="dxa" w:w="25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Single HTML file, no server</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t>
            </w:r>
          </w:p>
        </w:tc>
        <w:tc>
          <w:tcPr>
            <w:tcW w:type="dxa" w:w="36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Self-contained, runs offline after first load</w:t>
            </w:r>
          </w:p>
        </w:tc>
      </w:tr>
    </w:tbl>
    <w:p>
      <w:pPr>
        <w:spacing w:before="0" w:after="80"/>
      </w:pPr>
    </w:p>
    <w:p>
      <w:pPr>
        <w:spacing w:before="360" w:after="120"/>
      </w:pPr>
      <w:r>
        <w:rPr>
          <w:rFonts w:ascii="Georgia" w:hAnsi="Georgia"/>
          <w:b/>
          <w:color w:val="7A5810"/>
          <w:sz w:val="26"/>
        </w:rPr>
        <w:t>3.2  Module Organisation</w:t>
      </w:r>
    </w:p>
    <w:p>
      <w:pPr>
        <w:spacing w:before="0" w:after="48"/>
      </w:pPr>
      <w:r>
        <w:rPr>
          <w:rFonts w:ascii="Georgia" w:hAnsi="Georgia"/>
          <w:color w:val="3A2000"/>
          <w:sz w:val="22"/>
        </w:rPr>
        <w:t>SimLex is organised into the following logical modules within the single HTML file:</w:t>
      </w:r>
    </w:p>
    <w:p>
      <w:pPr>
        <w:pStyle w:val="ListBullet"/>
        <w:spacing w:before="0" w:after="80"/>
      </w:pPr>
      <w:r>
        <w:rPr>
          <w:rFonts w:ascii="Georgia" w:hAnsi="Georgia"/>
          <w:b/>
          <w:i w:val="0"/>
          <w:color w:val="3A2000"/>
          <w:sz w:val="22"/>
        </w:rPr>
        <w:t xml:space="preserve">Constants:  </w:t>
      </w:r>
      <w:r>
        <w:rPr>
          <w:rFonts w:ascii="Courier New" w:hAnsi="Courier New"/>
          <w:b w:val="0"/>
          <w:i w:val="0"/>
          <w:color w:val="4A3808"/>
          <w:sz w:val="20"/>
        </w:rPr>
        <w:t>WORLD</w:t>
      </w:r>
      <w:r>
        <w:rPr>
          <w:rFonts w:ascii="Georgia" w:hAnsi="Georgia"/>
          <w:color w:val="3A2000"/>
          <w:sz w:val="22"/>
        </w:rPr>
        <w:t xml:space="preserve">, </w:t>
      </w:r>
      <w:r>
        <w:rPr>
          <w:rFonts w:ascii="Courier New" w:hAnsi="Courier New"/>
          <w:b w:val="0"/>
          <w:i w:val="0"/>
          <w:color w:val="4A3808"/>
          <w:sz w:val="20"/>
        </w:rPr>
        <w:t>MAX_LINES</w:t>
      </w:r>
      <w:r>
        <w:rPr>
          <w:rFonts w:ascii="Georgia" w:hAnsi="Georgia"/>
          <w:color w:val="3A2000"/>
          <w:sz w:val="22"/>
        </w:rPr>
        <w:t xml:space="preserve">, </w:t>
      </w:r>
      <w:r>
        <w:rPr>
          <w:rFonts w:ascii="Courier New" w:hAnsi="Courier New"/>
          <w:b w:val="0"/>
          <w:i w:val="0"/>
          <w:color w:val="4A3808"/>
          <w:sz w:val="20"/>
        </w:rPr>
        <w:t>STEPS_PER_GEN</w:t>
      </w:r>
      <w:r>
        <w:rPr>
          <w:rFonts w:ascii="Georgia" w:hAnsi="Georgia"/>
          <w:color w:val="3A2000"/>
          <w:sz w:val="22"/>
        </w:rPr>
        <w:t xml:space="preserve">, </w:t>
      </w:r>
      <w:r>
        <w:rPr>
          <w:rFonts w:ascii="Courier New" w:hAnsi="Courier New"/>
          <w:b w:val="0"/>
          <w:i w:val="0"/>
          <w:color w:val="4A3808"/>
          <w:sz w:val="20"/>
        </w:rPr>
        <w:t>MLC_NODES</w:t>
      </w:r>
      <w:r>
        <w:rPr>
          <w:rFonts w:ascii="Georgia" w:hAnsi="Georgia"/>
          <w:color w:val="3A2000"/>
          <w:sz w:val="22"/>
        </w:rPr>
        <w:t xml:space="preserve">, </w:t>
      </w:r>
      <w:r>
        <w:rPr>
          <w:rFonts w:ascii="Courier New" w:hAnsi="Courier New"/>
          <w:b w:val="0"/>
          <w:i w:val="0"/>
          <w:color w:val="4A3808"/>
          <w:sz w:val="20"/>
        </w:rPr>
        <w:t>CT</w:t>
      </w:r>
      <w:r>
        <w:rPr>
          <w:rFonts w:ascii="Georgia" w:hAnsi="Georgia"/>
          <w:color w:val="3A2000"/>
          <w:sz w:val="22"/>
        </w:rPr>
        <w:t xml:space="preserve">, </w:t>
      </w:r>
      <w:r>
        <w:rPr>
          <w:rFonts w:ascii="Courier New" w:hAnsi="Courier New"/>
          <w:b w:val="0"/>
          <w:i w:val="0"/>
          <w:color w:val="4A3808"/>
          <w:sz w:val="20"/>
        </w:rPr>
        <w:t>ARCHITECTURES</w:t>
      </w:r>
      <w:r>
        <w:rPr>
          <w:rFonts w:ascii="Georgia" w:hAnsi="Georgia"/>
          <w:color w:val="3A2000"/>
          <w:sz w:val="22"/>
        </w:rPr>
        <w:t xml:space="preserve">, </w:t>
      </w:r>
      <w:r>
        <w:rPr>
          <w:rFonts w:ascii="Courier New" w:hAnsi="Courier New"/>
          <w:b w:val="0"/>
          <w:i w:val="0"/>
          <w:color w:val="4A3808"/>
          <w:sz w:val="20"/>
        </w:rPr>
        <w:t>PARAM_SPACE</w:t>
      </w:r>
      <w:r>
        <w:rPr>
          <w:rFonts w:ascii="Georgia" w:hAnsi="Georgia"/>
          <w:color w:val="3A2000"/>
          <w:sz w:val="22"/>
        </w:rPr>
        <w:t xml:space="preserve">, </w:t>
      </w:r>
      <w:r>
        <w:rPr>
          <w:rFonts w:ascii="Courier New" w:hAnsi="Courier New"/>
          <w:b w:val="0"/>
          <w:i w:val="0"/>
          <w:color w:val="4A3808"/>
          <w:sz w:val="20"/>
        </w:rPr>
        <w:t>DEFAULT_CFG</w:t>
      </w:r>
      <w:r>
        <w:rPr>
          <w:rFonts w:ascii="Georgia" w:hAnsi="Georgia"/>
          <w:color w:val="3A2000"/>
          <w:sz w:val="22"/>
        </w:rPr>
        <w:t xml:space="preserve">, </w:t>
      </w:r>
      <w:r>
        <w:rPr>
          <w:rFonts w:ascii="Courier New" w:hAnsi="Courier New"/>
          <w:b w:val="0"/>
          <w:i w:val="0"/>
          <w:color w:val="4A3808"/>
          <w:sz w:val="20"/>
        </w:rPr>
        <w:t>BUILT_IN_HYPS</w:t>
      </w:r>
      <w:r>
        <w:rPr>
          <w:rFonts w:ascii="Georgia" w:hAnsi="Georgia"/>
          <w:color w:val="3A2000"/>
          <w:sz w:val="22"/>
        </w:rPr>
        <w:t>.</w:t>
      </w:r>
    </w:p>
    <w:p>
      <w:pPr>
        <w:pStyle w:val="ListBullet"/>
        <w:spacing w:before="0" w:after="80"/>
      </w:pPr>
      <w:r>
        <w:rPr>
          <w:rFonts w:ascii="Georgia" w:hAnsi="Georgia"/>
          <w:b/>
          <w:i w:val="0"/>
          <w:color w:val="3A2000"/>
          <w:sz w:val="22"/>
        </w:rPr>
        <w:t xml:space="preserve">Statistics:  </w:t>
      </w:r>
      <w:r>
        <w:rPr>
          <w:rFonts w:ascii="Georgia" w:hAnsi="Georgia"/>
          <w:color w:val="3A2000"/>
          <w:sz w:val="22"/>
        </w:rPr>
        <w:t xml:space="preserve">Pure functions -- </w:t>
      </w:r>
      <w:r>
        <w:rPr>
          <w:rFonts w:ascii="Courier New" w:hAnsi="Courier New"/>
          <w:b w:val="0"/>
          <w:i w:val="0"/>
          <w:color w:val="4A3808"/>
          <w:sz w:val="20"/>
        </w:rPr>
        <w:t>sMean</w:t>
      </w:r>
      <w:r>
        <w:rPr>
          <w:rFonts w:ascii="Georgia" w:hAnsi="Georgia"/>
          <w:color w:val="3A2000"/>
          <w:sz w:val="22"/>
        </w:rPr>
        <w:t xml:space="preserve">, </w:t>
      </w:r>
      <w:r>
        <w:rPr>
          <w:rFonts w:ascii="Courier New" w:hAnsi="Courier New"/>
          <w:b w:val="0"/>
          <w:i w:val="0"/>
          <w:color w:val="4A3808"/>
          <w:sz w:val="20"/>
        </w:rPr>
        <w:t>sVar</w:t>
      </w:r>
      <w:r>
        <w:rPr>
          <w:rFonts w:ascii="Georgia" w:hAnsi="Georgia"/>
          <w:color w:val="3A2000"/>
          <w:sz w:val="22"/>
        </w:rPr>
        <w:t xml:space="preserve">, </w:t>
      </w:r>
      <w:r>
        <w:rPr>
          <w:rFonts w:ascii="Courier New" w:hAnsi="Courier New"/>
          <w:b w:val="0"/>
          <w:i w:val="0"/>
          <w:color w:val="4A3808"/>
          <w:sz w:val="20"/>
        </w:rPr>
        <w:t>sStd</w:t>
      </w:r>
      <w:r>
        <w:rPr>
          <w:rFonts w:ascii="Georgia" w:hAnsi="Georgia"/>
          <w:color w:val="3A2000"/>
          <w:sz w:val="22"/>
        </w:rPr>
        <w:t xml:space="preserve">, </w:t>
      </w:r>
      <w:r>
        <w:rPr>
          <w:rFonts w:ascii="Courier New" w:hAnsi="Courier New"/>
          <w:b w:val="0"/>
          <w:i w:val="0"/>
          <w:color w:val="4A3808"/>
          <w:sz w:val="20"/>
        </w:rPr>
        <w:t>welchTest</w:t>
      </w:r>
      <w:r>
        <w:rPr>
          <w:rFonts w:ascii="Georgia" w:hAnsi="Georgia"/>
          <w:color w:val="3A2000"/>
          <w:sz w:val="22"/>
        </w:rPr>
        <w:t xml:space="preserve">, </w:t>
      </w:r>
      <w:r>
        <w:rPr>
          <w:rFonts w:ascii="Courier New" w:hAnsi="Courier New"/>
          <w:b w:val="0"/>
          <w:i w:val="0"/>
          <w:color w:val="4A3808"/>
          <w:sz w:val="20"/>
        </w:rPr>
        <w:t>pearsonR</w:t>
      </w:r>
      <w:r>
        <w:rPr>
          <w:rFonts w:ascii="Georgia" w:hAnsi="Georgia"/>
          <w:color w:val="3A2000"/>
          <w:sz w:val="22"/>
        </w:rPr>
        <w:t xml:space="preserve">, </w:t>
      </w:r>
      <w:r>
        <w:rPr>
          <w:rFonts w:ascii="Courier New" w:hAnsi="Courier New"/>
          <w:b w:val="0"/>
          <w:i w:val="0"/>
          <w:color w:val="4A3808"/>
          <w:sz w:val="20"/>
        </w:rPr>
        <w:t>lagCorrelation</w:t>
      </w:r>
      <w:r>
        <w:rPr>
          <w:rFonts w:ascii="Georgia" w:hAnsi="Georgia"/>
          <w:color w:val="3A2000"/>
          <w:sz w:val="22"/>
        </w:rPr>
        <w:t xml:space="preserve">, </w:t>
      </w:r>
      <w:r>
        <w:rPr>
          <w:rFonts w:ascii="Courier New" w:hAnsi="Courier New"/>
          <w:b w:val="0"/>
          <w:i w:val="0"/>
          <w:color w:val="4A3808"/>
          <w:sz w:val="20"/>
        </w:rPr>
        <w:t>mkRng</w:t>
      </w:r>
      <w:r>
        <w:rPr>
          <w:rFonts w:ascii="Georgia" w:hAnsi="Georgia"/>
          <w:color w:val="3A2000"/>
          <w:sz w:val="22"/>
        </w:rPr>
        <w:t>.</w:t>
      </w:r>
    </w:p>
    <w:p>
      <w:pPr>
        <w:pStyle w:val="ListBullet"/>
        <w:spacing w:before="0" w:after="80"/>
      </w:pPr>
      <w:r>
        <w:rPr>
          <w:rFonts w:ascii="Georgia" w:hAnsi="Georgia"/>
          <w:b/>
          <w:i w:val="0"/>
          <w:color w:val="3A2000"/>
          <w:sz w:val="22"/>
        </w:rPr>
        <w:t xml:space="preserve">Export utilities:  </w:t>
      </w:r>
      <w:r>
        <w:rPr>
          <w:rFonts w:ascii="Courier New" w:hAnsi="Courier New"/>
          <w:b w:val="0"/>
          <w:i w:val="0"/>
          <w:color w:val="4A3808"/>
          <w:sz w:val="20"/>
        </w:rPr>
        <w:t>dlCSV</w:t>
      </w:r>
      <w:r>
        <w:rPr>
          <w:rFonts w:ascii="Georgia" w:hAnsi="Georgia"/>
          <w:color w:val="3A2000"/>
          <w:sz w:val="22"/>
        </w:rPr>
        <w:t xml:space="preserve">, </w:t>
      </w:r>
      <w:r>
        <w:rPr>
          <w:rFonts w:ascii="Courier New" w:hAnsi="Courier New"/>
          <w:b w:val="0"/>
          <w:i w:val="0"/>
          <w:color w:val="4A3808"/>
          <w:sz w:val="20"/>
        </w:rPr>
        <w:t>exportHypResults</w:t>
      </w:r>
      <w:r>
        <w:rPr>
          <w:rFonts w:ascii="Georgia" w:hAnsi="Georgia"/>
          <w:color w:val="3A2000"/>
          <w:sz w:val="22"/>
        </w:rPr>
        <w:t xml:space="preserve">, </w:t>
      </w:r>
      <w:r>
        <w:rPr>
          <w:rFonts w:ascii="Courier New" w:hAnsi="Courier New"/>
          <w:b w:val="0"/>
          <w:i w:val="0"/>
          <w:color w:val="4A3808"/>
          <w:sz w:val="20"/>
        </w:rPr>
        <w:t>exportTimeSeries</w:t>
      </w:r>
      <w:r>
        <w:rPr>
          <w:rFonts w:ascii="Georgia" w:hAnsi="Georgia"/>
          <w:color w:val="3A2000"/>
          <w:sz w:val="22"/>
        </w:rPr>
        <w:t>.</w:t>
      </w:r>
    </w:p>
    <w:p>
      <w:pPr>
        <w:pStyle w:val="ListBullet"/>
        <w:spacing w:before="0" w:after="80"/>
      </w:pPr>
      <w:r>
        <w:rPr>
          <w:rFonts w:ascii="Georgia" w:hAnsi="Georgia"/>
          <w:b/>
          <w:i w:val="0"/>
          <w:color w:val="3A2000"/>
          <w:sz w:val="22"/>
        </w:rPr>
        <w:t xml:space="preserve">Entity classes:  </w:t>
      </w:r>
      <w:r>
        <w:rPr>
          <w:rFonts w:ascii="Courier New" w:hAnsi="Courier New"/>
          <w:b w:val="0"/>
          <w:i w:val="0"/>
          <w:color w:val="4A3808"/>
          <w:sz w:val="20"/>
        </w:rPr>
        <w:t>Agent</w:t>
      </w:r>
      <w:r>
        <w:rPr>
          <w:rFonts w:ascii="Georgia" w:hAnsi="Georgia"/>
          <w:color w:val="3A2000"/>
          <w:sz w:val="22"/>
        </w:rPr>
        <w:t xml:space="preserve"> (agent model), </w:t>
      </w:r>
      <w:r>
        <w:rPr>
          <w:rFonts w:ascii="Courier New" w:hAnsi="Courier New"/>
          <w:b w:val="0"/>
          <w:i w:val="0"/>
          <w:color w:val="4A3808"/>
          <w:sz w:val="20"/>
        </w:rPr>
        <w:t>Obligation</w:t>
      </w:r>
      <w:r>
        <w:rPr>
          <w:rFonts w:ascii="Georgia" w:hAnsi="Georgia"/>
          <w:color w:val="3A2000"/>
          <w:sz w:val="22"/>
        </w:rPr>
        <w:t xml:space="preserve"> (MLC chain instance), </w:t>
      </w:r>
      <w:r>
        <w:rPr>
          <w:rFonts w:ascii="Courier New" w:hAnsi="Courier New"/>
          <w:b w:val="0"/>
          <w:i w:val="0"/>
          <w:color w:val="4A3808"/>
          <w:sz w:val="20"/>
        </w:rPr>
        <w:t>Simulation</w:t>
      </w:r>
      <w:r>
        <w:rPr>
          <w:rFonts w:ascii="Georgia" w:hAnsi="Georgia"/>
          <w:color w:val="3A2000"/>
          <w:sz w:val="22"/>
        </w:rPr>
        <w:t xml:space="preserve"> (step engine and accumulators).</w:t>
      </w:r>
    </w:p>
    <w:p>
      <w:pPr>
        <w:pStyle w:val="ListBullet"/>
        <w:spacing w:before="0" w:after="80"/>
      </w:pPr>
      <w:r>
        <w:rPr>
          <w:rFonts w:ascii="Georgia" w:hAnsi="Georgia"/>
          <w:b/>
          <w:i w:val="0"/>
          <w:color w:val="3A2000"/>
          <w:sz w:val="22"/>
        </w:rPr>
        <w:t xml:space="preserve">Science runners:  </w:t>
      </w:r>
      <w:r>
        <w:rPr>
          <w:rFonts w:ascii="Courier New" w:hAnsi="Courier New"/>
          <w:b w:val="0"/>
          <w:i w:val="0"/>
          <w:color w:val="4A3808"/>
          <w:sz w:val="20"/>
        </w:rPr>
        <w:t>runOneSim</w:t>
      </w:r>
      <w:r>
        <w:rPr>
          <w:rFonts w:ascii="Georgia" w:hAnsi="Georgia"/>
          <w:color w:val="3A2000"/>
          <w:sz w:val="22"/>
        </w:rPr>
        <w:t xml:space="preserve">, </w:t>
      </w:r>
      <w:r>
        <w:rPr>
          <w:rFonts w:ascii="Courier New" w:hAnsi="Courier New"/>
          <w:b w:val="0"/>
          <w:i w:val="0"/>
          <w:color w:val="4A3808"/>
          <w:sz w:val="20"/>
        </w:rPr>
        <w:t>runOneSimSeries</w:t>
      </w:r>
      <w:r>
        <w:rPr>
          <w:rFonts w:ascii="Georgia" w:hAnsi="Georgia"/>
          <w:color w:val="3A2000"/>
          <w:sz w:val="22"/>
        </w:rPr>
        <w:t xml:space="preserve">, </w:t>
      </w:r>
      <w:r>
        <w:rPr>
          <w:rFonts w:ascii="Courier New" w:hAnsi="Courier New"/>
          <w:b w:val="0"/>
          <w:i w:val="0"/>
          <w:color w:val="4A3808"/>
          <w:sz w:val="20"/>
        </w:rPr>
        <w:t>runHypTest</w:t>
      </w:r>
      <w:r>
        <w:rPr>
          <w:rFonts w:ascii="Georgia" w:hAnsi="Georgia"/>
          <w:color w:val="3A2000"/>
          <w:sz w:val="22"/>
        </w:rPr>
        <w:t>.</w:t>
      </w:r>
    </w:p>
    <w:p>
      <w:pPr>
        <w:pStyle w:val="ListBullet"/>
        <w:spacing w:before="0" w:after="80"/>
      </w:pPr>
      <w:r>
        <w:rPr>
          <w:rFonts w:ascii="Georgia" w:hAnsi="Georgia"/>
          <w:b/>
          <w:i w:val="0"/>
          <w:color w:val="3A2000"/>
          <w:sz w:val="22"/>
        </w:rPr>
        <w:t xml:space="preserve">Main component:  </w:t>
      </w:r>
      <w:r>
        <w:rPr>
          <w:rFonts w:ascii="Courier New" w:hAnsi="Courier New"/>
          <w:b w:val="0"/>
          <w:i w:val="0"/>
          <w:color w:val="4A3808"/>
          <w:sz w:val="20"/>
        </w:rPr>
        <w:t>SimLex</w:t>
      </w:r>
      <w:r>
        <w:rPr>
          <w:rFonts w:ascii="Georgia" w:hAnsi="Georgia"/>
          <w:color w:val="3A2000"/>
          <w:sz w:val="22"/>
        </w:rPr>
        <w:t xml:space="preserve"> -- React component managing all state, Three.js lifecycle, and event handlers.</w:t>
      </w:r>
    </w:p>
    <w:p>
      <w:pPr>
        <w:spacing w:before="360" w:after="120"/>
      </w:pPr>
      <w:r>
        <w:rPr>
          <w:rFonts w:ascii="Georgia" w:hAnsi="Georgia"/>
          <w:b/>
          <w:color w:val="7A5810"/>
          <w:sz w:val="26"/>
        </w:rPr>
        <w:t>3.3  Simulation Time</w:t>
      </w:r>
    </w:p>
    <w:p>
      <w:pPr>
        <w:spacing w:before="0" w:after="48"/>
      </w:pPr>
      <w:r>
        <w:rPr>
          <w:rFonts w:ascii="Georgia" w:hAnsi="Georgia"/>
          <w:color w:val="3A2000"/>
          <w:sz w:val="22"/>
        </w:rPr>
        <w:t xml:space="preserve">The simulation runs in discrete steps. Each step represents one interaction cycle for all agents and obligations. A generation is defined as every </w:t>
      </w:r>
      <w:r>
        <w:rPr>
          <w:rFonts w:ascii="Courier New" w:hAnsi="Courier New"/>
          <w:b w:val="0"/>
          <w:i w:val="0"/>
          <w:color w:val="4A3808"/>
          <w:sz w:val="20"/>
        </w:rPr>
        <w:t>STEPS_PER_GEN</w:t>
      </w:r>
      <w:r>
        <w:rPr>
          <w:rFonts w:ascii="Georgia" w:hAnsi="Georgia"/>
          <w:color w:val="3A2000"/>
          <w:sz w:val="22"/>
        </w:rPr>
        <w:t xml:space="preserve"> = 8 steps. At the end of each generation, aggregate statistics are computed and a row is appended to </w:t>
      </w:r>
      <w:r>
        <w:rPr>
          <w:rFonts w:ascii="Courier New" w:hAnsi="Courier New"/>
          <w:b w:val="0"/>
          <w:i w:val="0"/>
          <w:color w:val="4A3808"/>
          <w:sz w:val="20"/>
        </w:rPr>
        <w:t>fullHistory</w:t>
      </w:r>
      <w:r>
        <w:rPr>
          <w:rFonts w:ascii="Georgia" w:hAnsi="Georgia"/>
          <w:color w:val="3A2000"/>
          <w:sz w:val="22"/>
        </w:rPr>
        <w:t xml:space="preserve">. The Three.js render loop calls </w:t>
      </w:r>
      <w:r>
        <w:rPr>
          <w:rFonts w:ascii="Courier New" w:hAnsi="Courier New"/>
          <w:b w:val="0"/>
          <w:i w:val="0"/>
          <w:color w:val="4A3808"/>
          <w:sz w:val="20"/>
        </w:rPr>
        <w:t>sim.step()</w:t>
      </w:r>
      <w:r>
        <w:rPr>
          <w:rFonts w:ascii="Georgia" w:hAnsi="Georgia"/>
          <w:color w:val="3A2000"/>
          <w:sz w:val="22"/>
        </w:rPr>
        <w:t xml:space="preserve"> once per frame by default; at speed setting s, it calls it s times per frame (range: 1-8x).</w:t>
      </w:r>
    </w:p>
    <w:p>
      <w:pPr>
        <w:spacing w:before="480" w:after="160"/>
        <w:pBdr>
          <w:bottom w:val="single" w:sz="8" w:space="1" w:color="C49020"/>
        </w:pBdr>
      </w:pPr>
      <w:r>
        <w:rPr>
          <w:rFonts w:ascii="Georgia" w:hAnsi="Georgia"/>
          <w:b/>
          <w:color w:val="3A2000"/>
          <w:sz w:val="34"/>
        </w:rPr>
        <w:t>4.  Agent Model</w:t>
      </w:r>
    </w:p>
    <w:p>
      <w:pPr>
        <w:spacing w:before="360" w:after="120"/>
      </w:pPr>
      <w:r>
        <w:rPr>
          <w:rFonts w:ascii="Georgia" w:hAnsi="Georgia"/>
          <w:b/>
          <w:color w:val="7A5810"/>
          <w:sz w:val="26"/>
        </w:rPr>
        <w:t>4.1  Agent Properties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Property</w:t>
            </w:r>
          </w:p>
        </w:tc>
        <w:tc>
          <w:tcPr>
            <w:tcW w:type="dxa" w:w="158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Type</w:t>
            </w:r>
          </w:p>
        </w:tc>
        <w:tc>
          <w:tcPr>
            <w:tcW w:type="dxa" w:w="187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Initial range</w:t>
            </w:r>
          </w:p>
        </w:tc>
        <w:tc>
          <w:tcPr>
            <w:tcW w:type="dxa" w:w="525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Description</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legalCoherence</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0.52-0.92</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Structural integrity of the agent's MLC participation</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trust</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0.40-0.80</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Recognition-layer capacity -- Node 6-7 health proxy</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contradictionDebt</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0-0.06</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Accumulated unresolved contradiction load</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standing</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iatBase +/- 0.15</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 condition 1: role-grounded legal standing</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repairCapacity</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iatBase +/- 0.15</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 condition 2/4: capacity to participate in repair</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endurance</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iatBase +/- 0.15</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 condition 3: enduring non-resettable residue</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counterfactualCtrl</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iatBase +/- 0.15</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 condition 5: control over whether breach occurred</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iatScore</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 [0,1]</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derived</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Mean of four IAT conditions</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isNormativeAgent</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bool</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derived</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True if iatScore &gt;= iatThreshold</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pos</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THREE.Vector3</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random</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Position in 3D world space</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vel</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THREE.Vector3</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random &lt;=0.35</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Velocity -- reflected at world bounds</w:t>
            </w:r>
          </w:p>
        </w:tc>
      </w:tr>
      <w:tr>
        <w:tc>
          <w:tcPr>
            <w:tcW w:type="dxa" w:w="216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ctCounts</w:t>
            </w:r>
          </w:p>
        </w:tc>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object</w:t>
            </w:r>
          </w:p>
        </w:tc>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zeros</w:t>
            </w:r>
          </w:p>
        </w:tc>
        <w:tc>
          <w:tcPr>
            <w:tcW w:type="dxa" w:w="52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Per-contradiction-type denial counter</w:t>
            </w:r>
          </w:p>
        </w:tc>
      </w:tr>
      <w:tr>
        <w:tc>
          <w:tcPr>
            <w:tcW w:type="dxa" w:w="216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dominantCT</w:t>
            </w:r>
          </w:p>
        </w:tc>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string|null</w:t>
            </w:r>
          </w:p>
        </w:tc>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null</w:t>
            </w:r>
          </w:p>
        </w:tc>
        <w:tc>
          <w:tcPr>
            <w:tcW w:type="dxa" w:w="52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Most frequent contradiction type for this agent</w:t>
            </w:r>
          </w:p>
        </w:tc>
      </w:tr>
    </w:tbl>
    <w:p>
      <w:pPr>
        <w:spacing w:before="0" w:after="80"/>
      </w:pPr>
    </w:p>
    <w:p>
      <w:pPr>
        <w:spacing w:before="360" w:after="120"/>
      </w:pPr>
      <w:r>
        <w:rPr>
          <w:rFonts w:ascii="Georgia" w:hAnsi="Georgia"/>
          <w:b/>
          <w:color w:val="7A5810"/>
          <w:sz w:val="26"/>
        </w:rPr>
        <w:t>4.2  IAT Score Computation</w:t>
      </w:r>
    </w:p>
    <w:p>
      <w:pPr>
        <w:spacing w:before="0" w:after="48"/>
      </w:pPr>
      <w:r>
        <w:rPr>
          <w:rFonts w:ascii="Georgia" w:hAnsi="Georgia"/>
          <w:color w:val="3A2000"/>
          <w:sz w:val="22"/>
        </w:rPr>
        <w:t>The IAT score is the unweighted mean of the four conditions:</w:t>
      </w:r>
    </w:p>
    <w:p>
      <w:pPr>
        <w:jc w:val="center"/>
        <w:spacing w:before="100" w:after="100"/>
      </w:pPr>
      <w:r>
        <w:rPr>
          <w:rFonts w:ascii="Courier New" w:hAnsi="Courier New"/>
          <w:b/>
          <w:color w:val="7A5810"/>
          <w:sz w:val="22"/>
        </w:rPr>
        <w:t>IAT(a) = (standing + repairCapacity + endurance + counterfactualCtrl) / 4</w:t>
      </w:r>
    </w:p>
    <w:p>
      <w:pPr>
        <w:spacing w:before="0" w:after="48"/>
      </w:pPr>
      <w:r>
        <w:rPr>
          <w:rFonts w:ascii="Georgia" w:hAnsi="Georgia"/>
          <w:color w:val="3A2000"/>
          <w:sz w:val="22"/>
        </w:rPr>
        <w:t xml:space="preserve">An agent is classified as a normative agent if IAT(a) &gt;= </w:t>
      </w:r>
      <w:r>
        <w:rPr>
          <w:rFonts w:ascii="Courier New" w:hAnsi="Courier New"/>
          <w:b w:val="0"/>
          <w:i w:val="0"/>
          <w:color w:val="4A3808"/>
          <w:sz w:val="20"/>
        </w:rPr>
        <w:t>iatThreshold</w:t>
      </w:r>
      <w:r>
        <w:rPr>
          <w:rFonts w:ascii="Georgia" w:hAnsi="Georgia"/>
          <w:color w:val="3A2000"/>
          <w:sz w:val="22"/>
        </w:rPr>
        <w:t xml:space="preserve"> (default: 0.50). Normative agents are rendered at twice the visual scale in the Three.js world. IAT score is recomputed every step.</w:t>
      </w:r>
    </w:p>
    <w:p>
      <w:pPr>
        <w:spacing w:before="80" w:after="120"/>
        <w:ind w:left="360" w:right="360"/>
        <w:pBdr>
          <w:left w:val="single" w:sz="20" w:space="8" w:color="C49020"/>
        </w:pBdr>
      </w:pPr>
      <w:r>
        <w:rPr>
          <w:rFonts w:ascii="Georgia" w:hAnsi="Georgia"/>
          <w:i/>
          <w:color w:val="4A3808"/>
          <w:sz w:val="20"/>
        </w:rPr>
        <w:t>The simulation collapses the IAT's five conditions to four attributes. Attributable breach is not tracked separately because, in the simulation context, every denial event is by construction attributable to the issuing agent. The four remaining conditions are the theoretically load-bearing ones for distinguishing structural from non-structural agency.</w:t>
      </w:r>
    </w:p>
    <w:p>
      <w:pPr>
        <w:spacing w:before="360" w:after="120"/>
      </w:pPr>
      <w:r>
        <w:rPr>
          <w:rFonts w:ascii="Georgia" w:hAnsi="Georgia"/>
          <w:b/>
          <w:color w:val="7A5810"/>
          <w:sz w:val="26"/>
        </w:rPr>
        <w:t>4.3  Agent Initialisation</w:t>
      </w:r>
    </w:p>
    <w:p>
      <w:pPr>
        <w:spacing w:before="0" w:after="48"/>
      </w:pPr>
      <w:r>
        <w:rPr>
          <w:rFonts w:ascii="Georgia" w:hAnsi="Georgia"/>
          <w:color w:val="3A2000"/>
          <w:sz w:val="22"/>
        </w:rPr>
        <w:t xml:space="preserve">IAT attributes are initialised from a population parameter </w:t>
      </w:r>
      <w:r>
        <w:rPr>
          <w:rFonts w:ascii="Courier New" w:hAnsi="Courier New"/>
          <w:b w:val="0"/>
          <w:i w:val="0"/>
          <w:color w:val="4A3808"/>
          <w:sz w:val="20"/>
        </w:rPr>
        <w:t>initialIATMean</w:t>
      </w:r>
      <w:r>
        <w:rPr>
          <w:rFonts w:ascii="Georgia" w:hAnsi="Georgia"/>
          <w:color w:val="3A2000"/>
          <w:sz w:val="22"/>
        </w:rPr>
        <w:t xml:space="preserve"> (default: 0.55), with uniform spread +/- 0.15. To test high- versus low-IAT populations, set </w:t>
      </w:r>
      <w:r>
        <w:rPr>
          <w:rFonts w:ascii="Courier New" w:hAnsi="Courier New"/>
          <w:b w:val="0"/>
          <w:i w:val="0"/>
          <w:color w:val="4A3808"/>
          <w:sz w:val="20"/>
        </w:rPr>
        <w:t>initialIATMean</w:t>
      </w:r>
      <w:r>
        <w:rPr>
          <w:rFonts w:ascii="Georgia" w:hAnsi="Georgia"/>
          <w:color w:val="3A2000"/>
          <w:sz w:val="22"/>
        </w:rPr>
        <w:t xml:space="preserve"> to values between 0.20 and 0.80 before resetting.</w:t>
      </w:r>
    </w:p>
    <w:p>
      <w:pPr>
        <w:spacing w:before="360" w:after="120"/>
      </w:pPr>
      <w:r>
        <w:rPr>
          <w:rFonts w:ascii="Georgia" w:hAnsi="Georgia"/>
          <w:b/>
          <w:color w:val="7A5810"/>
          <w:sz w:val="26"/>
        </w:rPr>
        <w:t>4.4  Per-Step Agent Update</w:t>
      </w:r>
    </w:p>
    <w:p>
      <w:pPr>
        <w:spacing w:before="0" w:after="48"/>
      </w:pPr>
      <w:r>
        <w:rPr>
          <w:rFonts w:ascii="Georgia" w:hAnsi="Georgia"/>
          <w:color w:val="3A2000"/>
          <w:sz w:val="22"/>
        </w:rPr>
        <w:t>Each step, all agents are updated in order:</w:t>
      </w:r>
    </w:p>
    <w:p>
      <w:pPr>
        <w:pStyle w:val="ListNumber"/>
        <w:spacing w:before="0" w:after="80"/>
      </w:pPr>
      <w:r>
        <w:rPr>
          <w:rFonts w:ascii="Georgia" w:hAnsi="Georgia"/>
          <w:color w:val="3A2000"/>
          <w:sz w:val="22"/>
        </w:rPr>
        <w:t>Position update: add velocity; reflect at world bounds (+/- 75 units).</w:t>
      </w:r>
    </w:p>
    <w:p>
      <w:pPr>
        <w:pStyle w:val="ListNumber"/>
        <w:spacing w:before="0" w:after="80"/>
      </w:pPr>
      <w:r>
        <w:rPr>
          <w:rFonts w:ascii="Georgia" w:hAnsi="Georgia"/>
          <w:color w:val="3A2000"/>
          <w:sz w:val="22"/>
        </w:rPr>
        <w:t>Age increment and reprocooldown decrement.</w:t>
      </w:r>
    </w:p>
    <w:p>
      <w:pPr>
        <w:pStyle w:val="ListNumber"/>
        <w:spacing w:before="0" w:after="80"/>
      </w:pPr>
      <w:r>
        <w:rPr>
          <w:rFonts w:ascii="Georgia" w:hAnsi="Georgia"/>
          <w:color w:val="3A2000"/>
          <w:sz w:val="22"/>
        </w:rPr>
        <w:t xml:space="preserve">IAT score recompute: </w:t>
      </w:r>
      <w:r>
        <w:rPr>
          <w:rFonts w:ascii="Courier New" w:hAnsi="Courier New"/>
          <w:b w:val="0"/>
          <w:i w:val="0"/>
          <w:color w:val="4A3808"/>
          <w:sz w:val="20"/>
        </w:rPr>
        <w:t>_updateIAT(cfg.iatThreshold)</w:t>
      </w:r>
      <w:r>
        <w:rPr>
          <w:rFonts w:ascii="Georgia" w:hAnsi="Georgia"/>
          <w:color w:val="3A2000"/>
          <w:sz w:val="22"/>
        </w:rPr>
        <w:t>.</w:t>
      </w:r>
    </w:p>
    <w:p>
      <w:pPr>
        <w:pStyle w:val="ListNumber"/>
        <w:spacing w:before="0" w:after="80"/>
      </w:pPr>
      <w:r>
        <w:rPr>
          <w:rFonts w:ascii="Georgia" w:hAnsi="Georgia"/>
          <w:color w:val="3A2000"/>
          <w:sz w:val="22"/>
        </w:rPr>
        <w:t xml:space="preserve">Coherence decay: </w:t>
      </w:r>
      <w:r>
        <w:rPr>
          <w:rFonts w:ascii="Courier New" w:hAnsi="Courier New"/>
          <w:b w:val="0"/>
          <w:i w:val="0"/>
          <w:color w:val="4A3808"/>
          <w:sz w:val="20"/>
        </w:rPr>
        <w:t>legalCoherence -= chainDecay x decayMult x (1 + extP x 1.8)</w:t>
      </w:r>
      <w:r>
        <w:rPr>
          <w:rFonts w:ascii="Georgia" w:hAnsi="Georgia"/>
          <w:color w:val="3A2000"/>
          <w:sz w:val="22"/>
        </w:rPr>
        <w:t xml:space="preserve">, where </w:t>
      </w:r>
      <w:r>
        <w:rPr>
          <w:rFonts w:ascii="Courier New" w:hAnsi="Courier New"/>
          <w:b w:val="0"/>
          <w:i w:val="0"/>
          <w:color w:val="4A3808"/>
          <w:sz w:val="20"/>
        </w:rPr>
        <w:t>decayMult</w:t>
      </w:r>
      <w:r>
        <w:rPr>
          <w:rFonts w:ascii="Georgia" w:hAnsi="Georgia"/>
          <w:color w:val="3A2000"/>
          <w:sz w:val="22"/>
        </w:rPr>
        <w:t xml:space="preserve"> is architecture-specific.</w:t>
      </w:r>
    </w:p>
    <w:p>
      <w:pPr>
        <w:pStyle w:val="ListNumber"/>
        <w:spacing w:before="0" w:after="80"/>
      </w:pPr>
      <w:r>
        <w:rPr>
          <w:rFonts w:ascii="Georgia" w:hAnsi="Georgia"/>
          <w:color w:val="3A2000"/>
          <w:sz w:val="22"/>
        </w:rPr>
        <w:t xml:space="preserve">Debt natural decay: </w:t>
      </w:r>
      <w:r>
        <w:rPr>
          <w:rFonts w:ascii="Courier New" w:hAnsi="Courier New"/>
          <w:b w:val="0"/>
          <w:i w:val="0"/>
          <w:color w:val="4A3808"/>
          <w:sz w:val="20"/>
        </w:rPr>
        <w:t>contradictionDebt -= 0.0008</w:t>
      </w:r>
      <w:r>
        <w:rPr>
          <w:rFonts w:ascii="Georgia" w:hAnsi="Georgia"/>
          <w:color w:val="3A2000"/>
          <w:sz w:val="22"/>
        </w:rPr>
        <w:t xml:space="preserve"> (clamped at 0).</w:t>
      </w:r>
    </w:p>
    <w:p>
      <w:pPr>
        <w:pStyle w:val="ListNumber"/>
        <w:spacing w:before="0" w:after="80"/>
      </w:pPr>
      <w:r>
        <w:rPr>
          <w:rFonts w:ascii="Georgia" w:hAnsi="Georgia"/>
          <w:color w:val="3A2000"/>
          <w:sz w:val="22"/>
        </w:rPr>
        <w:t xml:space="preserve">Architecture-specific floor reset: if coherence falls below </w:t>
      </w:r>
      <w:r>
        <w:rPr>
          <w:rFonts w:ascii="Courier New" w:hAnsi="Courier New"/>
          <w:b w:val="0"/>
          <w:i w:val="0"/>
          <w:color w:val="4A3808"/>
          <w:sz w:val="20"/>
        </w:rPr>
        <w:t>coherFloor x 0.3</w:t>
      </w:r>
      <w:r>
        <w:rPr>
          <w:rFonts w:ascii="Georgia" w:hAnsi="Georgia"/>
          <w:color w:val="3A2000"/>
          <w:sz w:val="22"/>
        </w:rPr>
        <w:t xml:space="preserve">, it resets to </w:t>
      </w:r>
      <w:r>
        <w:rPr>
          <w:rFonts w:ascii="Courier New" w:hAnsi="Courier New"/>
          <w:b w:val="0"/>
          <w:i w:val="0"/>
          <w:color w:val="4A3808"/>
          <w:sz w:val="20"/>
        </w:rPr>
        <w:t>coherFloor + rand x (coherFloor x 0.3)</w:t>
      </w:r>
      <w:r>
        <w:rPr>
          <w:rFonts w:ascii="Georgia" w:hAnsi="Georgia"/>
          <w:color w:val="3A2000"/>
          <w:sz w:val="22"/>
        </w:rPr>
        <w:t xml:space="preserve"> and a CD penalty of </w:t>
      </w:r>
      <w:r>
        <w:rPr>
          <w:rFonts w:ascii="Courier New" w:hAnsi="Courier New"/>
          <w:b w:val="0"/>
          <w:i w:val="0"/>
          <w:color w:val="4A3808"/>
          <w:sz w:val="20"/>
        </w:rPr>
        <w:t>0.05 x decayMult</w:t>
      </w:r>
      <w:r>
        <w:rPr>
          <w:rFonts w:ascii="Georgia" w:hAnsi="Georgia"/>
          <w:color w:val="3A2000"/>
          <w:sz w:val="22"/>
        </w:rPr>
        <w:t xml:space="preserve"> is applied.</w:t>
      </w:r>
    </w:p>
    <w:p>
      <w:pPr>
        <w:spacing w:before="480" w:after="160"/>
        <w:pBdr>
          <w:bottom w:val="single" w:sz="8" w:space="1" w:color="C49020"/>
        </w:pBdr>
      </w:pPr>
      <w:r>
        <w:rPr>
          <w:rFonts w:ascii="Georgia" w:hAnsi="Georgia"/>
          <w:b/>
          <w:color w:val="3A2000"/>
          <w:sz w:val="34"/>
        </w:rPr>
        <w:t>5.  Obligation Model -- The MLC Chain</w:t>
      </w:r>
    </w:p>
    <w:p>
      <w:pPr>
        <w:spacing w:before="360" w:after="120"/>
      </w:pPr>
      <w:r>
        <w:rPr>
          <w:rFonts w:ascii="Georgia" w:hAnsi="Georgia"/>
          <w:b/>
          <w:color w:val="7A5810"/>
          <w:sz w:val="26"/>
        </w:rPr>
        <w:t>5.1  Obligation Lifecycle</w:t>
      </w:r>
    </w:p>
    <w:tbl>
      <w:tblPr>
        <w:tblStyle w:val="TableGrid"/>
        <w:tblW w:type="auto" w:w="0"/>
        <w:jc w:val="center"/>
        <w:tblLook w:firstColumn="1" w:firstRow="1" w:lastColumn="0" w:lastRow="0" w:noHBand="0" w:noVBand="1" w:val="04A0"/>
      </w:tblPr>
      <w:tblGrid>
        <w:gridCol w:w="3120"/>
        <w:gridCol w:w="3120"/>
        <w:gridCol w:w="3120"/>
      </w:tblGrid>
      <w:tr>
        <w:tc>
          <w:tcPr>
            <w:tcW w:type="dxa" w:w="122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State</w:t>
            </w:r>
          </w:p>
        </w:tc>
        <w:tc>
          <w:tcPr>
            <w:tcW w:type="dxa" w:w="504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Trigger</w:t>
            </w:r>
          </w:p>
        </w:tc>
        <w:tc>
          <w:tcPr>
            <w:tcW w:type="dxa" w:w="316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Effect</w:t>
            </w:r>
          </w:p>
        </w:tc>
      </w:tr>
      <w:tr>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active</w:t>
            </w:r>
          </w:p>
        </w:tc>
        <w:tc>
          <w:tcPr>
            <w:tcW w:type="dxa" w:w="50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Created when two agents are within obligRadius and pass a 0.4% proximity test</w:t>
            </w:r>
          </w:p>
        </w:tc>
        <w:tc>
          <w:tcPr>
            <w:tcW w:type="dxa" w:w="31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Tracked and processed each step</w:t>
            </w:r>
          </w:p>
        </w:tc>
      </w:tr>
      <w:tr>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fulfilled</w:t>
            </w:r>
          </w:p>
        </w:tc>
        <w:tc>
          <w:tcPr>
            <w:tcW w:type="dxa" w:w="50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All 8 MLC nodes close in a single attemptClose call</w:t>
            </w:r>
          </w:p>
        </w:tc>
        <w:tc>
          <w:tcPr>
            <w:tcW w:type="dxa" w:w="31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Positive coherence, trust, debt rewards scaled by repBonus</w:t>
            </w:r>
          </w:p>
        </w:tc>
      </w:tr>
      <w:tr>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denied</w:t>
            </w:r>
          </w:p>
        </w:tc>
        <w:tc>
          <w:tcPr>
            <w:tcW w:type="dxa" w:w="50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Architecture fRate fires (stochastic, IAT-modulated)</w:t>
            </w:r>
          </w:p>
        </w:tc>
        <w:tc>
          <w:tcPr>
            <w:tcW w:type="dxa" w:w="31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CD and coherence penalties applied; contradiction type recorded</w:t>
            </w:r>
          </w:p>
        </w:tc>
      </w:tr>
      <w:tr>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expired</w:t>
            </w:r>
          </w:p>
        </w:tc>
        <w:tc>
          <w:tcPr>
            <w:tcW w:type="dxa" w:w="50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Active obligation survives obligationLife (default: 180) steps</w:t>
            </w:r>
          </w:p>
        </w:tc>
        <w:tc>
          <w:tcPr>
            <w:tcW w:type="dxa" w:w="31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Lighter CD penalty (x 0.4 x archCDMult); no trust adjustment</w:t>
            </w:r>
          </w:p>
        </w:tc>
      </w:tr>
    </w:tbl>
    <w:p>
      <w:pPr>
        <w:spacing w:before="0" w:after="80"/>
      </w:pPr>
    </w:p>
    <w:p>
      <w:pPr>
        <w:spacing w:before="0" w:after="48"/>
      </w:pPr>
      <w:r>
        <w:rPr>
          <w:rFonts w:ascii="Georgia" w:hAnsi="Georgia"/>
          <w:color w:val="3A2000"/>
          <w:sz w:val="22"/>
        </w:rPr>
        <w:t xml:space="preserve">Obligations that have left active state are retained for </w:t>
      </w:r>
      <w:r>
        <w:rPr>
          <w:rFonts w:ascii="Courier New" w:hAnsi="Courier New"/>
          <w:b w:val="0"/>
          <w:i w:val="0"/>
          <w:color w:val="4A3808"/>
          <w:sz w:val="20"/>
        </w:rPr>
        <w:t>flashAge</w:t>
      </w:r>
      <w:r>
        <w:rPr>
          <w:rFonts w:ascii="Georgia" w:hAnsi="Georgia"/>
          <w:color w:val="3A2000"/>
          <w:sz w:val="22"/>
        </w:rPr>
        <w:t xml:space="preserve"> &lt;= 32 steps for visual rendering, then garbage-collected. Maximum concurrent active obligations is capped at </w:t>
      </w:r>
      <w:r>
        <w:rPr>
          <w:rFonts w:ascii="Courier New" w:hAnsi="Courier New"/>
          <w:b w:val="0"/>
          <w:i w:val="0"/>
          <w:color w:val="4A3808"/>
          <w:sz w:val="20"/>
        </w:rPr>
        <w:t>maxObligs</w:t>
      </w:r>
      <w:r>
        <w:rPr>
          <w:rFonts w:ascii="Georgia" w:hAnsi="Georgia"/>
          <w:color w:val="3A2000"/>
          <w:sz w:val="22"/>
        </w:rPr>
        <w:t xml:space="preserve"> = 200.</w:t>
      </w:r>
    </w:p>
    <w:p>
      <w:pPr>
        <w:spacing w:before="360" w:after="120"/>
      </w:pPr>
      <w:r>
        <w:rPr>
          <w:rFonts w:ascii="Georgia" w:hAnsi="Georgia"/>
          <w:b/>
          <w:color w:val="7A5810"/>
          <w:sz w:val="26"/>
        </w:rPr>
        <w:t>5.2  Node Closure Mechanism</w:t>
      </w:r>
    </w:p>
    <w:p>
      <w:pPr>
        <w:spacing w:before="0" w:after="48"/>
      </w:pPr>
      <w:r>
        <w:rPr>
          <w:rFonts w:ascii="Georgia" w:hAnsi="Georgia"/>
          <w:color w:val="3A2000"/>
          <w:sz w:val="22"/>
        </w:rPr>
        <w:t>When an active obligation undergoes an attemptClose call, each of the 8 nodes attempts closure independently. Node closure probability for node i is:</w:t>
      </w:r>
    </w:p>
    <w:p>
      <w:pPr>
        <w:jc w:val="center"/>
        <w:spacing w:before="100" w:after="100"/>
      </w:pPr>
      <w:r>
        <w:rPr>
          <w:rFonts w:ascii="Courier New" w:hAnsi="Courier New"/>
          <w:b/>
          <w:color w:val="7A5810"/>
          <w:sz w:val="22"/>
        </w:rPr>
        <w:t>P(close_i) = clamp( nw_i x repairRate x 10 x (1 - extP x 0.6),  0,  0.98 )</w:t>
      </w:r>
    </w:p>
    <w:p>
      <w:pPr>
        <w:spacing w:before="0" w:after="48"/>
      </w:pPr>
      <w:r>
        <w:rPr>
          <w:rFonts w:ascii="Georgia" w:hAnsi="Georgia"/>
          <w:color w:val="3A2000"/>
          <w:sz w:val="22"/>
        </w:rPr>
        <w:t>where nw_i is the obligation's node weight for node i. The obligation is fulfilled if and only if all 8 nodes close simultaneously.</w:t>
      </w:r>
    </w:p>
    <w:p>
      <w:pPr>
        <w:spacing w:before="360" w:after="120"/>
      </w:pPr>
      <w:r>
        <w:rPr>
          <w:rFonts w:ascii="Georgia" w:hAnsi="Georgia"/>
          <w:b/>
          <w:color w:val="7A5810"/>
          <w:sz w:val="26"/>
        </w:rPr>
        <w:t>5.3  Obligation Node Weights</w:t>
      </w:r>
    </w:p>
    <w:p>
      <w:pPr>
        <w:spacing w:before="0" w:after="48"/>
      </w:pPr>
      <w:r>
        <w:rPr>
          <w:rFonts w:ascii="Georgia" w:hAnsi="Georgia"/>
          <w:color w:val="3A2000"/>
          <w:sz w:val="22"/>
        </w:rPr>
        <w:t>Each obligation receives individualised node weights at instantiation, derived from the architecture's base vector modulated by agent IAT and trust:</w:t>
      </w:r>
    </w:p>
    <w:p>
      <w:pPr>
        <w:jc w:val="center"/>
        <w:spacing w:before="100" w:after="100"/>
      </w:pPr>
      <w:r>
        <w:rPr>
          <w:rFonts w:ascii="Courier New" w:hAnsi="Courier New"/>
          <w:b/>
          <w:color w:val="7A5810"/>
          <w:sz w:val="22"/>
        </w:rPr>
        <w:t>nw_i = clamp( archNW_i x (0.5 + iatMod x 0.5) x (0.6 + trMod x 0.4),  0.05,  0.98 )</w:t>
      </w:r>
    </w:p>
    <w:p>
      <w:pPr>
        <w:spacing w:before="0" w:after="48"/>
      </w:pPr>
      <w:r>
        <w:rPr>
          <w:rFonts w:ascii="Georgia" w:hAnsi="Georgia"/>
          <w:color w:val="3A2000"/>
          <w:sz w:val="22"/>
        </w:rPr>
        <w:t xml:space="preserve">where </w:t>
      </w:r>
      <w:r>
        <w:rPr>
          <w:rFonts w:ascii="Courier New" w:hAnsi="Courier New"/>
          <w:b w:val="0"/>
          <w:i w:val="0"/>
          <w:color w:val="4A3808"/>
          <w:sz w:val="20"/>
        </w:rPr>
        <w:t>iatMod</w:t>
      </w:r>
      <w:r>
        <w:rPr>
          <w:rFonts w:ascii="Georgia" w:hAnsi="Georgia"/>
          <w:color w:val="3A2000"/>
          <w:sz w:val="22"/>
        </w:rPr>
        <w:t xml:space="preserve"> = mean(issuer.iatScore, target.iatScore) and </w:t>
      </w:r>
      <w:r>
        <w:rPr>
          <w:rFonts w:ascii="Courier New" w:hAnsi="Courier New"/>
          <w:b w:val="0"/>
          <w:i w:val="0"/>
          <w:color w:val="4A3808"/>
          <w:sz w:val="20"/>
        </w:rPr>
        <w:t>trMod</w:t>
      </w:r>
      <w:r>
        <w:rPr>
          <w:rFonts w:ascii="Georgia" w:hAnsi="Georgia"/>
          <w:color w:val="3A2000"/>
          <w:sz w:val="22"/>
        </w:rPr>
        <w:t xml:space="preserve"> = mean(issuer.trust, target.trust). High-IAT, high-trust agent pairs generate obligations with inherently higher closure probability -- the structural effect of normative agency is embedded in the chain at formation.</w:t>
      </w:r>
    </w:p>
    <w:p>
      <w:pPr>
        <w:spacing w:before="360" w:after="120"/>
      </w:pPr>
      <w:r>
        <w:rPr>
          <w:rFonts w:ascii="Georgia" w:hAnsi="Georgia"/>
          <w:b/>
          <w:color w:val="7A5810"/>
          <w:sz w:val="26"/>
        </w:rPr>
        <w:t>5.4  Contradiction Classification</w:t>
      </w:r>
    </w:p>
    <w:p>
      <w:pPr>
        <w:spacing w:before="0" w:after="48"/>
      </w:pPr>
      <w:r>
        <w:rPr>
          <w:rFonts w:ascii="Georgia" w:hAnsi="Georgia"/>
          <w:color w:val="3A2000"/>
          <w:sz w:val="22"/>
        </w:rPr>
        <w:t>When an obligation fails to close, the pattern of unclosed nodes is classified by this priority-ordered rule (F = set of failed node indices):</w:t>
      </w:r>
    </w:p>
    <w:p>
      <w:pPr>
        <w:spacing w:before="0" w:after="80"/>
      </w:pPr>
    </w:p>
    <w:p>
      <w:pPr>
        <w:spacing w:before="40" w:after="40"/>
        <w:ind w:left="360" w:right="360"/>
      </w:pPr>
      <w:r>
        <w:rPr>
          <w:rFonts w:ascii="Courier New" w:hAnsi="Courier New"/>
          <w:color w:val="4A3808"/>
          <w:sz w:val="19"/>
        </w:rPr>
        <w:t xml:space="preserve">  if (|F| &gt;= 6)           --&gt; Chain Severance</w:t>
      </w:r>
    </w:p>
    <w:p>
      <w:pPr>
        <w:spacing w:before="40" w:after="40"/>
        <w:ind w:left="360" w:right="360"/>
      </w:pPr>
      <w:r>
        <w:rPr>
          <w:rFonts w:ascii="Courier New" w:hAnsi="Courier New"/>
          <w:color w:val="4A3808"/>
          <w:sz w:val="19"/>
        </w:rPr>
        <w:t xml:space="preserve">  if ({0,5,6} subset F)   --&gt; Recht/Gesetz Rupture</w:t>
      </w:r>
    </w:p>
    <w:p>
      <w:pPr>
        <w:spacing w:before="40" w:after="40"/>
        <w:ind w:left="360" w:right="360"/>
      </w:pPr>
      <w:r>
        <w:rPr>
          <w:rFonts w:ascii="Courier New" w:hAnsi="Courier New"/>
          <w:color w:val="4A3808"/>
          <w:sz w:val="19"/>
        </w:rPr>
        <w:t xml:space="preserve">  if ({0,1} subset F)     --&gt; Conferral Failure</w:t>
      </w:r>
    </w:p>
    <w:p>
      <w:pPr>
        <w:spacing w:before="40" w:after="40"/>
        <w:ind w:left="360" w:right="360"/>
      </w:pPr>
      <w:r>
        <w:rPr>
          <w:rFonts w:ascii="Courier New" w:hAnsi="Courier New"/>
          <w:color w:val="4A3808"/>
          <w:sz w:val="19"/>
        </w:rPr>
        <w:t xml:space="preserve">  if ({5,6} subset F)     --&gt; Correlativity Contradiction</w:t>
      </w:r>
    </w:p>
    <w:p>
      <w:pPr>
        <w:spacing w:before="40" w:after="40"/>
        <w:ind w:left="360" w:right="360"/>
      </w:pPr>
      <w:r>
        <w:rPr>
          <w:rFonts w:ascii="Courier New" w:hAnsi="Courier New"/>
          <w:color w:val="4A3808"/>
          <w:sz w:val="19"/>
        </w:rPr>
        <w:t xml:space="preserve">  if ({3,4} subset F)     --&gt; Retroactive Contradiction</w:t>
      </w:r>
    </w:p>
    <w:p>
      <w:pPr>
        <w:spacing w:before="40" w:after="40"/>
        <w:ind w:left="360" w:right="360"/>
      </w:pPr>
      <w:r>
        <w:rPr>
          <w:rFonts w:ascii="Courier New" w:hAnsi="Courier New"/>
          <w:color w:val="4A3808"/>
          <w:sz w:val="19"/>
        </w:rPr>
        <w:t xml:space="preserve">  if (0 in F)             --&gt; Authority Inflation</w:t>
      </w:r>
    </w:p>
    <w:p>
      <w:pPr>
        <w:spacing w:before="40" w:after="40"/>
        <w:ind w:left="360" w:right="360"/>
      </w:pPr>
      <w:r>
        <w:rPr>
          <w:rFonts w:ascii="Courier New" w:hAnsi="Courier New"/>
          <w:color w:val="4A3808"/>
          <w:sz w:val="19"/>
        </w:rPr>
        <w:t xml:space="preserve">  if (1 in F)             --&gt; Jurisdictional Contradiction</w:t>
      </w:r>
    </w:p>
    <w:p>
      <w:pPr>
        <w:spacing w:before="40" w:after="40"/>
        <w:ind w:left="360" w:right="360"/>
      </w:pPr>
      <w:r>
        <w:rPr>
          <w:rFonts w:ascii="Courier New" w:hAnsi="Courier New"/>
          <w:color w:val="4A3808"/>
          <w:sz w:val="19"/>
        </w:rPr>
        <w:t xml:space="preserve">  if (2 in F)             --&gt; Role Vacancy</w:t>
      </w:r>
    </w:p>
    <w:p>
      <w:pPr>
        <w:spacing w:before="40" w:after="40"/>
        <w:ind w:left="360" w:right="360"/>
      </w:pPr>
      <w:r>
        <w:rPr>
          <w:rFonts w:ascii="Courier New" w:hAnsi="Courier New"/>
          <w:color w:val="4A3808"/>
          <w:sz w:val="19"/>
        </w:rPr>
        <w:t xml:space="preserve">  if (3 in F)             --&gt; Triggering Ambiguity</w:t>
      </w:r>
    </w:p>
    <w:p>
      <w:pPr>
        <w:spacing w:before="40" w:after="40"/>
        <w:ind w:left="360" w:right="360"/>
      </w:pPr>
      <w:r>
        <w:rPr>
          <w:rFonts w:ascii="Courier New" w:hAnsi="Courier New"/>
          <w:color w:val="4A3808"/>
          <w:sz w:val="19"/>
        </w:rPr>
        <w:t xml:space="preserve">  if (4 in F)             --&gt; Act-Effect Mismatch</w:t>
      </w:r>
    </w:p>
    <w:p>
      <w:pPr>
        <w:spacing w:before="40" w:after="40"/>
        <w:ind w:left="360" w:right="360"/>
      </w:pPr>
      <w:r>
        <w:rPr>
          <w:rFonts w:ascii="Courier New" w:hAnsi="Courier New"/>
          <w:color w:val="4A3808"/>
          <w:sz w:val="19"/>
        </w:rPr>
        <w:t xml:space="preserve">  if (5 in F)             --&gt; Recognition Failure</w:t>
      </w:r>
    </w:p>
    <w:p>
      <w:pPr>
        <w:spacing w:before="40" w:after="40"/>
        <w:ind w:left="360" w:right="360"/>
      </w:pPr>
      <w:r>
        <w:rPr>
          <w:rFonts w:ascii="Courier New" w:hAnsi="Courier New"/>
          <w:color w:val="4A3808"/>
          <w:sz w:val="19"/>
        </w:rPr>
        <w:t xml:space="preserve">  if (6 in F)             --&gt; Effect Nullification</w:t>
      </w:r>
    </w:p>
    <w:p>
      <w:pPr>
        <w:spacing w:before="40" w:after="40"/>
        <w:ind w:left="360" w:right="360"/>
      </w:pPr>
      <w:r>
        <w:rPr>
          <w:rFonts w:ascii="Courier New" w:hAnsi="Courier New"/>
          <w:color w:val="4A3808"/>
          <w:sz w:val="19"/>
        </w:rPr>
        <w:t xml:space="preserve">  else                    --&gt; Repair Failure  (Node 7 only)</w:t>
      </w:r>
    </w:p>
    <w:p>
      <w:pPr>
        <w:spacing w:before="0" w:after="80"/>
      </w:pPr>
    </w:p>
    <w:p>
      <w:pPr>
        <w:spacing w:before="0" w:after="48"/>
      </w:pPr>
      <w:r>
        <w:rPr>
          <w:rFonts w:ascii="Georgia" w:hAnsi="Georgia"/>
          <w:color w:val="3A2000"/>
          <w:sz w:val="22"/>
        </w:rPr>
        <w:t>Classification is priority-ordered: compound failures matching a multi-node pattern are classified at the highest applicable entry. A failure at nodes {0, 5, 6} is classified as Recht/Gesetz Rupture rather than as three separate single-node types.</w:t>
      </w:r>
    </w:p>
    <w:p>
      <w:pPr>
        <w:spacing w:before="360" w:after="120"/>
      </w:pPr>
      <w:r>
        <w:rPr>
          <w:rFonts w:ascii="Georgia" w:hAnsi="Georgia"/>
          <w:b/>
          <w:color w:val="7A5810"/>
          <w:sz w:val="26"/>
        </w:rPr>
        <w:t>5.5  Denial Outcome Effects</w:t>
      </w:r>
    </w:p>
    <w:p>
      <w:pPr>
        <w:spacing w:before="0" w:after="48"/>
      </w:pPr>
      <w:r>
        <w:rPr>
          <w:rFonts w:ascii="Georgia" w:hAnsi="Georgia"/>
          <w:color w:val="3A2000"/>
          <w:sz w:val="22"/>
        </w:rPr>
        <w:t>When a denial fires, the following effects are applied to the issuing agent:</w:t>
      </w:r>
    </w:p>
    <w:p>
      <w:pPr>
        <w:jc w:val="center"/>
        <w:spacing w:before="100" w:after="100"/>
      </w:pPr>
      <w:r>
        <w:rPr>
          <w:rFonts w:ascii="Courier New" w:hAnsi="Courier New"/>
          <w:b/>
          <w:color w:val="7A5810"/>
          <w:sz w:val="22"/>
        </w:rPr>
        <w:t>contradictionDebt  +=  CT[type].cdW x archCDMult</w:t>
      </w:r>
    </w:p>
    <w:p>
      <w:pPr>
        <w:jc w:val="center"/>
        <w:spacing w:before="100" w:after="100"/>
      </w:pPr>
      <w:r>
        <w:rPr>
          <w:rFonts w:ascii="Courier New" w:hAnsi="Courier New"/>
          <w:b/>
          <w:color w:val="7A5810"/>
          <w:sz w:val="22"/>
        </w:rPr>
        <w:t>legalCoherence     -=  CT[type].cdW x archCDMult x 0.45</w:t>
      </w:r>
    </w:p>
    <w:p>
      <w:pPr>
        <w:jc w:val="center"/>
        <w:spacing w:before="100" w:after="100"/>
      </w:pPr>
      <w:r>
        <w:rPr>
          <w:rFonts w:ascii="Courier New" w:hAnsi="Courier New"/>
          <w:b/>
          <w:color w:val="7A5810"/>
          <w:sz w:val="22"/>
        </w:rPr>
        <w:t>trust              -=  0.04</w:t>
      </w:r>
    </w:p>
    <w:p>
      <w:pPr>
        <w:spacing w:before="360" w:after="120"/>
      </w:pPr>
      <w:r>
        <w:rPr>
          <w:rFonts w:ascii="Georgia" w:hAnsi="Georgia"/>
          <w:b/>
          <w:color w:val="7A5810"/>
          <w:sz w:val="26"/>
        </w:rPr>
        <w:t>5.6  Fulfilment Outcome Effects</w:t>
      </w:r>
    </w:p>
    <w:p>
      <w:pPr>
        <w:spacing w:before="0" w:after="48"/>
      </w:pPr>
      <w:r>
        <w:rPr>
          <w:rFonts w:ascii="Georgia" w:hAnsi="Georgia"/>
          <w:color w:val="3A2000"/>
          <w:sz w:val="22"/>
        </w:rPr>
        <w:t>When all 8 nodes close, architecture-scaled positive effects apply:</w:t>
      </w:r>
    </w:p>
    <w:p>
      <w:pPr>
        <w:jc w:val="center"/>
        <w:spacing w:before="100" w:after="100"/>
      </w:pPr>
      <w:r>
        <w:rPr>
          <w:rFonts w:ascii="Courier New" w:hAnsi="Courier New"/>
          <w:b/>
          <w:color w:val="7A5810"/>
          <w:sz w:val="22"/>
        </w:rPr>
        <w:t>issuer.legalCoherence  +=  0.04 x repBonus</w:t>
      </w:r>
    </w:p>
    <w:p>
      <w:pPr>
        <w:jc w:val="center"/>
        <w:spacing w:before="100" w:after="100"/>
      </w:pPr>
      <w:r>
        <w:rPr>
          <w:rFonts w:ascii="Courier New" w:hAnsi="Courier New"/>
          <w:b/>
          <w:color w:val="7A5810"/>
          <w:sz w:val="22"/>
        </w:rPr>
        <w:t>issuer.trust           +=  0.03 x repBonus</w:t>
      </w:r>
    </w:p>
    <w:p>
      <w:pPr>
        <w:jc w:val="center"/>
        <w:spacing w:before="100" w:after="100"/>
      </w:pPr>
      <w:r>
        <w:rPr>
          <w:rFonts w:ascii="Courier New" w:hAnsi="Courier New"/>
          <w:b/>
          <w:color w:val="7A5810"/>
          <w:sz w:val="22"/>
        </w:rPr>
        <w:t>issuer.contradictionDebt -= 0.025 x repBonus</w:t>
      </w:r>
    </w:p>
    <w:p>
      <w:pPr>
        <w:jc w:val="center"/>
        <w:spacing w:before="100" w:after="100"/>
      </w:pPr>
      <w:r>
        <w:rPr>
          <w:rFonts w:ascii="Courier New" w:hAnsi="Courier New"/>
          <w:b/>
          <w:color w:val="7A5810"/>
          <w:sz w:val="22"/>
        </w:rPr>
        <w:t>target.trust           +=  0.02 x repBonus</w:t>
      </w:r>
    </w:p>
    <w:p>
      <w:pPr>
        <w:spacing w:before="0" w:after="48"/>
      </w:pPr>
      <w:r>
        <w:rPr>
          <w:rFonts w:ascii="Georgia" w:hAnsi="Georgia"/>
          <w:color w:val="3A2000"/>
          <w:sz w:val="22"/>
        </w:rPr>
        <w:t xml:space="preserve">The </w:t>
      </w:r>
      <w:r>
        <w:rPr>
          <w:rFonts w:ascii="Courier New" w:hAnsi="Courier New"/>
          <w:b w:val="0"/>
          <w:i w:val="0"/>
          <w:color w:val="4A3808"/>
          <w:sz w:val="20"/>
        </w:rPr>
        <w:t>repBonus</w:t>
      </w:r>
      <w:r>
        <w:rPr>
          <w:rFonts w:ascii="Georgia" w:hAnsi="Georgia"/>
          <w:color w:val="3A2000"/>
          <w:sz w:val="22"/>
        </w:rPr>
        <w:t xml:space="preserve"> multiplier is architecture-specific (range: 0.15 for Collapsed to 1.40 for Rule of Law). In architectures with high repBonus, fulfilled obligations produce strong positive feedback -- the structural basis of the Pluralist self-correction arc observed in empirical runs.</w:t>
      </w:r>
    </w:p>
    <w:p>
      <w:pPr>
        <w:spacing w:before="480" w:after="160"/>
        <w:pBdr>
          <w:bottom w:val="single" w:sz="8" w:space="1" w:color="C49020"/>
        </w:pBdr>
      </w:pPr>
      <w:r>
        <w:rPr>
          <w:rFonts w:ascii="Georgia" w:hAnsi="Georgia"/>
          <w:b/>
          <w:color w:val="3A2000"/>
          <w:sz w:val="34"/>
        </w:rPr>
        <w:t>6.  Legal Architectures</w:t>
      </w:r>
    </w:p>
    <w:p>
      <w:pPr>
        <w:spacing w:before="360" w:after="120"/>
      </w:pPr>
      <w:r>
        <w:rPr>
          <w:rFonts w:ascii="Georgia" w:hAnsi="Georgia"/>
          <w:b/>
          <w:color w:val="7A5810"/>
          <w:sz w:val="26"/>
        </w:rPr>
        <w:t>6.1  Architecture Parameter Set</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Parameter</w:t>
            </w:r>
          </w:p>
        </w:tc>
        <w:tc>
          <w:tcPr>
            <w:tcW w:type="dxa" w:w="129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Symbol</w:t>
            </w:r>
          </w:p>
        </w:tc>
        <w:tc>
          <w:tcPr>
            <w:tcW w:type="dxa" w:w="619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Description</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Node weight vector</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nw[0..7]</w:t>
            </w:r>
          </w:p>
        </w:tc>
        <w:tc>
          <w:tcPr>
            <w:tcW w:type="dxa" w:w="61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Base closure probability for each MLC node -- encodes which clusters the architecture supports structurally</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Failure rate</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fRate</w:t>
            </w:r>
          </w:p>
        </w:tc>
        <w:tc>
          <w:tcPr>
            <w:tcW w:type="dxa" w:w="61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Base per-step probability that an active obligation is denied, before IAT modulation</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CD multiplier</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cdMult</w:t>
            </w:r>
          </w:p>
        </w:tc>
        <w:tc>
          <w:tcPr>
            <w:tcW w:type="dxa" w:w="61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Scales CD penalty for every denial event</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Repair bonus</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repBonus</w:t>
            </w:r>
          </w:p>
        </w:tc>
        <w:tc>
          <w:tcPr>
            <w:tcW w:type="dxa" w:w="61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Scales positive effects of fulfilment</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 sensitivity</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iatSens</w:t>
            </w:r>
          </w:p>
        </w:tc>
        <w:tc>
          <w:tcPr>
            <w:tcW w:type="dxa" w:w="61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Fraction by which mean population IAT score reduces fRate</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Decay multiplier</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decayMult</w:t>
            </w:r>
          </w:p>
        </w:tc>
        <w:tc>
          <w:tcPr>
            <w:tcW w:type="dxa" w:w="61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Scales per-step coherence decay</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Coherence floor</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coherFloor</w:t>
            </w:r>
          </w:p>
        </w:tc>
        <w:tc>
          <w:tcPr>
            <w:tcW w:type="dxa" w:w="61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Architecture-specific attractor for the coherence reset mechanic</w:t>
            </w:r>
          </w:p>
        </w:tc>
      </w:tr>
    </w:tbl>
    <w:p>
      <w:pPr>
        <w:spacing w:before="0" w:after="80"/>
      </w:pPr>
    </w:p>
    <w:p>
      <w:pPr>
        <w:spacing w:before="360" w:after="120"/>
      </w:pPr>
      <w:r>
        <w:rPr>
          <w:rFonts w:ascii="Georgia" w:hAnsi="Georgia"/>
          <w:b/>
          <w:color w:val="7A5810"/>
          <w:sz w:val="26"/>
        </w:rPr>
        <w:t>6.2  Architecture Parameter Table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94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Architecture</w:t>
            </w:r>
          </w:p>
        </w:tc>
        <w:tc>
          <w:tcPr>
            <w:tcW w:type="dxa" w:w="93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fRate</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cdMult</w:t>
            </w:r>
          </w:p>
        </w:tc>
        <w:tc>
          <w:tcPr>
            <w:tcW w:type="dxa" w:w="122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repBonus</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iatSens</w:t>
            </w:r>
          </w:p>
        </w:tc>
        <w:tc>
          <w:tcPr>
            <w:tcW w:type="dxa" w:w="129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decayMult</w:t>
            </w:r>
          </w:p>
        </w:tc>
        <w:tc>
          <w:tcPr>
            <w:tcW w:type="dxa" w:w="129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coherFloor</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Rule of Law</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0.007</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0.55</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1.40</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0.65</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0.60</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0.55</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Natural Law</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0.011</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0.70</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1.25</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0.55</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0.75</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0.50</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Pluralist</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0.013</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1.15</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0.60</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0.85</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0.48</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Positivist</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0.016</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0.85</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0.30</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1.00</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0.40</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Customary</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0.019</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0.95</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0.45</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1.10</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0.38</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Theocratic</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0.026</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1.10</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0.68</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0.20</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1.50</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0.30</w:t>
            </w:r>
          </w:p>
        </w:tc>
      </w:tr>
      <w:tr>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Authoritarian</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0.048</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1.55</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0.35</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2.20</w:t>
            </w:r>
          </w:p>
        </w:tc>
        <w:tc>
          <w:tcPr>
            <w:tcW w:type="dxa" w:w="129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0.22</w:t>
            </w:r>
          </w:p>
        </w:tc>
      </w:tr>
      <w:tr>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Collapsed</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0.095</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2.20</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0.15</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0.05</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4.50</w:t>
            </w:r>
          </w:p>
        </w:tc>
        <w:tc>
          <w:tcPr>
            <w:tcW w:type="dxa" w:w="129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0.05</w:t>
            </w:r>
          </w:p>
        </w:tc>
      </w:tr>
    </w:tbl>
    <w:p>
      <w:pPr>
        <w:spacing w:before="0" w:after="80"/>
      </w:pPr>
    </w:p>
    <w:p>
      <w:pPr>
        <w:spacing w:before="360" w:after="120"/>
      </w:pPr>
      <w:r>
        <w:rPr>
          <w:rFonts w:ascii="Georgia" w:hAnsi="Georgia"/>
          <w:b/>
          <w:color w:val="7A5810"/>
          <w:sz w:val="26"/>
        </w:rPr>
        <w:t>6.3  Node Weight Vectors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Architecture</w:t>
            </w:r>
          </w:p>
        </w:tc>
        <w:tc>
          <w:tcPr>
            <w:tcW w:type="dxa" w:w="72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Auth(1)</w:t>
            </w:r>
          </w:p>
        </w:tc>
        <w:tc>
          <w:tcPr>
            <w:tcW w:type="dxa" w:w="72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Norm(2)</w:t>
            </w:r>
          </w:p>
        </w:tc>
        <w:tc>
          <w:tcPr>
            <w:tcW w:type="dxa" w:w="79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Actor(3)</w:t>
            </w:r>
          </w:p>
        </w:tc>
        <w:tc>
          <w:tcPr>
            <w:tcW w:type="dxa" w:w="72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Trig(4)</w:t>
            </w:r>
          </w:p>
        </w:tc>
        <w:tc>
          <w:tcPr>
            <w:tcW w:type="dxa" w:w="72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Act(5)</w:t>
            </w:r>
          </w:p>
        </w:tc>
        <w:tc>
          <w:tcPr>
            <w:tcW w:type="dxa" w:w="86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Recog(6)</w:t>
            </w:r>
          </w:p>
        </w:tc>
        <w:tc>
          <w:tcPr>
            <w:tcW w:type="dxa" w:w="86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Eff(7)</w:t>
            </w:r>
          </w:p>
        </w:tc>
        <w:tc>
          <w:tcPr>
            <w:tcW w:type="dxa" w:w="93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Rem(8)</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Rule of Law</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0.88</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0.85</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0.78</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0.78</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0.76</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Natural Law</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0.65</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0.68</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0.82</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0.75</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0.82</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Pluralist</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0.78</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0.80</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0.78</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0.75</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0.70</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0.65</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Positivist</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0.92</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0.90</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0.60</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0.58</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0.40</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Customary</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0.75</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0.68</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0.88</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0.78</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0.70</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0.65</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0.62</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Theocratic</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0.82</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0.62</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0.60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0.70</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0.50</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0.52</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0.42</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Authoritarian</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0.95</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0.93</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0.52</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0.55</w:t>
            </w:r>
          </w:p>
        </w:tc>
        <w:tc>
          <w:tcPr>
            <w:tcW w:type="dxa" w:w="72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0.72</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0.38</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0.40</w:t>
            </w:r>
          </w:p>
        </w:tc>
        <w:tc>
          <w:tcPr>
            <w:tcW w:type="dxa" w:w="93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0.18</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Collapsed</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0.22</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0.30</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0.28</w:t>
            </w:r>
          </w:p>
        </w:tc>
        <w:tc>
          <w:tcPr>
            <w:tcW w:type="dxa" w:w="72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0.30</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0.20</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0.22</w:t>
            </w:r>
          </w:p>
        </w:tc>
        <w:tc>
          <w:tcPr>
            <w:tcW w:type="dxa" w:w="93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0.12</w:t>
            </w:r>
          </w:p>
        </w:tc>
      </w:tr>
    </w:tbl>
    <w:p>
      <w:pPr>
        <w:spacing w:before="0" w:after="80"/>
      </w:pPr>
    </w:p>
    <w:p>
      <w:pPr>
        <w:spacing w:before="80" w:after="120"/>
        <w:ind w:left="360" w:right="360"/>
        <w:pBdr>
          <w:left w:val="single" w:sz="20" w:space="8" w:color="C49020"/>
        </w:pBdr>
      </w:pPr>
      <w:r>
        <w:rPr>
          <w:rFonts w:ascii="Georgia" w:hAnsi="Georgia"/>
          <w:i/>
          <w:color w:val="4A3808"/>
          <w:sz w:val="20"/>
        </w:rPr>
        <w:t>The Authoritarian architecture encodes SOoL's structural diagnosis: high authority-side weights (Nodes 1-2: 0.95, 0.93) with collapsed recognition and repair weights (Nodes 6-8: 0.38, 0.40, 0.18). The formal apparatus of norm-issuance is intact; the capacity for obligation recognition and remedial closure is structurally degraded.</w:t>
      </w:r>
    </w:p>
    <w:p>
      <w:pPr>
        <w:spacing w:before="360" w:after="120"/>
      </w:pPr>
      <w:r>
        <w:rPr>
          <w:rFonts w:ascii="Georgia" w:hAnsi="Georgia"/>
          <w:b/>
          <w:color w:val="7A5810"/>
          <w:sz w:val="26"/>
        </w:rPr>
        <w:t>6.4  Effective Failure Rate</w:t>
      </w:r>
    </w:p>
    <w:p>
      <w:pPr>
        <w:spacing w:before="0" w:after="48"/>
      </w:pPr>
      <w:r>
        <w:rPr>
          <w:rFonts w:ascii="Georgia" w:hAnsi="Georgia"/>
          <w:color w:val="3A2000"/>
          <w:sz w:val="22"/>
        </w:rPr>
        <w:t>The per-step failure probability for an obligation is modulated by population IAT and external pressure:</w:t>
      </w:r>
    </w:p>
    <w:p>
      <w:pPr>
        <w:jc w:val="center"/>
        <w:spacing w:before="100" w:after="100"/>
      </w:pPr>
      <w:r>
        <w:rPr>
          <w:rFonts w:ascii="Courier New" w:hAnsi="Courier New"/>
          <w:b/>
          <w:color w:val="7A5810"/>
          <w:sz w:val="22"/>
        </w:rPr>
        <w:t>fRate_eff = fRate x (1 - iatMod x iatSens) x (1 + extP x 1.2)</w:t>
      </w:r>
    </w:p>
    <w:p>
      <w:pPr>
        <w:spacing w:before="0" w:after="48"/>
      </w:pPr>
      <w:r>
        <w:rPr>
          <w:rFonts w:ascii="Georgia" w:hAnsi="Georgia"/>
          <w:color w:val="3A2000"/>
          <w:sz w:val="22"/>
        </w:rPr>
        <w:t xml:space="preserve">where </w:t>
      </w:r>
      <w:r>
        <w:rPr>
          <w:rFonts w:ascii="Courier New" w:hAnsi="Courier New"/>
          <w:b w:val="0"/>
          <w:i w:val="0"/>
          <w:color w:val="4A3808"/>
          <w:sz w:val="20"/>
        </w:rPr>
        <w:t>iatMod</w:t>
      </w:r>
      <w:r>
        <w:rPr>
          <w:rFonts w:ascii="Georgia" w:hAnsi="Georgia"/>
          <w:color w:val="3A2000"/>
          <w:sz w:val="22"/>
        </w:rPr>
        <w:t xml:space="preserve"> is the mean IAT score of the obligation's issuer and target agents, and </w:t>
      </w:r>
      <w:r>
        <w:rPr>
          <w:rFonts w:ascii="Courier New" w:hAnsi="Courier New"/>
          <w:b w:val="0"/>
          <w:i w:val="0"/>
          <w:color w:val="4A3808"/>
          <w:sz w:val="20"/>
        </w:rPr>
        <w:t>extP</w:t>
      </w:r>
      <w:r>
        <w:rPr>
          <w:rFonts w:ascii="Georgia" w:hAnsi="Georgia"/>
          <w:color w:val="3A2000"/>
          <w:sz w:val="22"/>
        </w:rPr>
        <w:t xml:space="preserve"> is external pressure (range: 0-1.0).</w:t>
      </w:r>
    </w:p>
    <w:p>
      <w:pPr>
        <w:spacing w:before="480" w:after="160"/>
        <w:pBdr>
          <w:bottom w:val="single" w:sz="8" w:space="1" w:color="C49020"/>
        </w:pBdr>
      </w:pPr>
      <w:r>
        <w:rPr>
          <w:rFonts w:ascii="Georgia" w:hAnsi="Georgia"/>
          <w:b/>
          <w:color w:val="3A2000"/>
          <w:sz w:val="34"/>
        </w:rPr>
        <w:t>7.  Simulation Step Loop</w:t>
      </w:r>
    </w:p>
    <w:p>
      <w:pPr>
        <w:spacing w:before="0" w:after="48"/>
      </w:pPr>
      <w:r>
        <w:rPr>
          <w:rFonts w:ascii="Georgia" w:hAnsi="Georgia"/>
          <w:color w:val="3A2000"/>
          <w:sz w:val="22"/>
        </w:rPr>
        <w:t xml:space="preserve">Each call to </w:t>
      </w:r>
      <w:r>
        <w:rPr>
          <w:rFonts w:ascii="Courier New" w:hAnsi="Courier New"/>
          <w:b w:val="0"/>
          <w:i w:val="0"/>
          <w:color w:val="4A3808"/>
          <w:sz w:val="20"/>
        </w:rPr>
        <w:t>Simulation.step()</w:t>
      </w:r>
      <w:r>
        <w:rPr>
          <w:rFonts w:ascii="Georgia" w:hAnsi="Georgia"/>
          <w:color w:val="3A2000"/>
          <w:sz w:val="22"/>
        </w:rPr>
        <w:t xml:space="preserve"> executes the following sequence:</w:t>
      </w:r>
    </w:p>
    <w:p>
      <w:pPr>
        <w:spacing w:before="240" w:after="80"/>
      </w:pPr>
      <w:r>
        <w:rPr>
          <w:rFonts w:ascii="Georgia" w:hAnsi="Georgia"/>
          <w:b/>
          <w:i/>
          <w:color w:val="4A3808"/>
          <w:sz w:val="23"/>
        </w:rPr>
        <w:t>Phase 1 -- Agent update</w:t>
      </w:r>
    </w:p>
    <w:p>
      <w:pPr>
        <w:spacing w:before="0" w:after="48"/>
      </w:pPr>
      <w:r>
        <w:rPr>
          <w:rFonts w:ascii="Georgia" w:hAnsi="Georgia"/>
          <w:color w:val="3A2000"/>
          <w:sz w:val="22"/>
        </w:rPr>
        <w:t>For each agent: move, bounce, increment age, recompute IAT, apply coherence decay (architecture-scaled), apply natural CD decay, apply coherence floor reset if triggered. See Section 4.4.</w:t>
      </w:r>
    </w:p>
    <w:p>
      <w:pPr>
        <w:spacing w:before="240" w:after="80"/>
      </w:pPr>
      <w:r>
        <w:rPr>
          <w:rFonts w:ascii="Georgia" w:hAnsi="Georgia"/>
          <w:b/>
          <w:i/>
          <w:color w:val="4A3808"/>
          <w:sz w:val="23"/>
        </w:rPr>
        <w:t>Phase 2 -- Obligation creation</w:t>
      </w:r>
    </w:p>
    <w:p>
      <w:pPr>
        <w:spacing w:before="0" w:after="48"/>
      </w:pPr>
      <w:r>
        <w:rPr>
          <w:rFonts w:ascii="Georgia" w:hAnsi="Georgia"/>
          <w:color w:val="3A2000"/>
          <w:sz w:val="22"/>
        </w:rPr>
        <w:t xml:space="preserve">For each unique agent pair (i, j) where dist(i,j) &lt; </w:t>
      </w:r>
      <w:r>
        <w:rPr>
          <w:rFonts w:ascii="Courier New" w:hAnsi="Courier New"/>
          <w:b w:val="0"/>
          <w:i w:val="0"/>
          <w:color w:val="4A3808"/>
          <w:sz w:val="20"/>
        </w:rPr>
        <w:t>obligRadius</w:t>
      </w:r>
      <w:r>
        <w:rPr>
          <w:rFonts w:ascii="Georgia" w:hAnsi="Georgia"/>
          <w:color w:val="3A2000"/>
          <w:sz w:val="22"/>
        </w:rPr>
        <w:t xml:space="preserve"> and Math.random() &lt; 0.004, and no active obligation already exists between them, and total active obligations &lt; </w:t>
      </w:r>
      <w:r>
        <w:rPr>
          <w:rFonts w:ascii="Courier New" w:hAnsi="Courier New"/>
          <w:b w:val="0"/>
          <w:i w:val="0"/>
          <w:color w:val="4A3808"/>
          <w:sz w:val="20"/>
        </w:rPr>
        <w:t>maxObligs</w:t>
      </w:r>
      <w:r>
        <w:rPr>
          <w:rFonts w:ascii="Georgia" w:hAnsi="Georgia"/>
          <w:color w:val="3A2000"/>
          <w:sz w:val="22"/>
        </w:rPr>
        <w:t>: create a new Obligation(i, j, archNW).</w:t>
      </w:r>
    </w:p>
    <w:p>
      <w:pPr>
        <w:spacing w:before="240" w:after="80"/>
      </w:pPr>
      <w:r>
        <w:rPr>
          <w:rFonts w:ascii="Georgia" w:hAnsi="Georgia"/>
          <w:b/>
          <w:i/>
          <w:color w:val="4A3808"/>
          <w:sz w:val="23"/>
        </w:rPr>
        <w:t>Phase 3 -- Obligation processing</w:t>
      </w:r>
    </w:p>
    <w:p>
      <w:pPr>
        <w:spacing w:before="0" w:after="48"/>
      </w:pPr>
      <w:r>
        <w:rPr>
          <w:rFonts w:ascii="Georgia" w:hAnsi="Georgia"/>
          <w:color w:val="3A2000"/>
          <w:sz w:val="22"/>
        </w:rPr>
        <w:t>For each active obligation:</w:t>
      </w:r>
    </w:p>
    <w:p>
      <w:pPr>
        <w:pStyle w:val="ListNumber"/>
        <w:spacing w:before="0" w:after="80"/>
      </w:pPr>
      <w:r>
        <w:rPr>
          <w:rFonts w:ascii="Georgia" w:hAnsi="Georgia"/>
          <w:color w:val="3A2000"/>
          <w:sz w:val="22"/>
        </w:rPr>
        <w:t xml:space="preserve">Call </w:t>
      </w:r>
      <w:r>
        <w:rPr>
          <w:rFonts w:ascii="Courier New" w:hAnsi="Courier New"/>
          <w:b w:val="0"/>
          <w:i w:val="0"/>
          <w:color w:val="4A3808"/>
          <w:sz w:val="20"/>
        </w:rPr>
        <w:t>attemptClose(repairRate, extP)</w:t>
      </w:r>
      <w:r>
        <w:rPr>
          <w:rFonts w:ascii="Georgia" w:hAnsi="Georgia"/>
          <w:color w:val="3A2000"/>
          <w:sz w:val="22"/>
        </w:rPr>
        <w:t>.</w:t>
      </w:r>
    </w:p>
    <w:p>
      <w:pPr>
        <w:pStyle w:val="ListNumber"/>
        <w:spacing w:before="0" w:after="80"/>
      </w:pPr>
      <w:r>
        <w:rPr>
          <w:rFonts w:ascii="Georgia" w:hAnsi="Georgia"/>
          <w:color w:val="3A2000"/>
          <w:sz w:val="22"/>
        </w:rPr>
        <w:t xml:space="preserve">If all nodes closed (return null): mark fulfilled; apply fulfilment rewards; increment </w:t>
      </w:r>
      <w:r>
        <w:rPr>
          <w:rFonts w:ascii="Courier New" w:hAnsi="Courier New"/>
          <w:b w:val="0"/>
          <w:i w:val="0"/>
          <w:color w:val="4A3808"/>
          <w:sz w:val="20"/>
        </w:rPr>
        <w:t>_repairAttempts</w:t>
      </w:r>
      <w:r>
        <w:rPr>
          <w:rFonts w:ascii="Georgia" w:hAnsi="Georgia"/>
          <w:color w:val="3A2000"/>
          <w:sz w:val="22"/>
        </w:rPr>
        <w:t xml:space="preserve"> and </w:t>
      </w:r>
      <w:r>
        <w:rPr>
          <w:rFonts w:ascii="Courier New" w:hAnsi="Courier New"/>
          <w:b w:val="0"/>
          <w:i w:val="0"/>
          <w:color w:val="4A3808"/>
          <w:sz w:val="20"/>
        </w:rPr>
        <w:t>_repairSuccesses</w:t>
      </w:r>
      <w:r>
        <w:rPr>
          <w:rFonts w:ascii="Georgia" w:hAnsi="Georgia"/>
          <w:color w:val="3A2000"/>
          <w:sz w:val="22"/>
        </w:rPr>
        <w:t>.</w:t>
      </w:r>
    </w:p>
    <w:p>
      <w:pPr>
        <w:pStyle w:val="ListNumber"/>
        <w:spacing w:before="0" w:after="80"/>
      </w:pPr>
      <w:r>
        <w:rPr>
          <w:rFonts w:ascii="Georgia" w:hAnsi="Georgia"/>
          <w:color w:val="3A2000"/>
          <w:sz w:val="22"/>
        </w:rPr>
        <w:t>Else if age &gt; obligationLife: mark expired; classify contradiction; apply expiry CD penalty (cdW x 0.4 x archCDMult).</w:t>
      </w:r>
    </w:p>
    <w:p>
      <w:pPr>
        <w:pStyle w:val="ListNumber"/>
        <w:spacing w:before="0" w:after="80"/>
      </w:pPr>
      <w:r>
        <w:rPr>
          <w:rFonts w:ascii="Georgia" w:hAnsi="Georgia"/>
          <w:color w:val="3A2000"/>
          <w:sz w:val="22"/>
        </w:rPr>
        <w:t>Else: compute effective fRate; if Math.random() &lt; fRate_eff: mark denied; classify contradiction; apply denial penalties; sample detection; update DL buffer.</w:t>
      </w:r>
    </w:p>
    <w:p>
      <w:pPr>
        <w:spacing w:before="240" w:after="80"/>
      </w:pPr>
      <w:r>
        <w:rPr>
          <w:rFonts w:ascii="Georgia" w:hAnsi="Georgia"/>
          <w:b/>
          <w:i/>
          <w:color w:val="4A3808"/>
          <w:sz w:val="23"/>
        </w:rPr>
        <w:t>Phase 4 -- Node health update</w:t>
      </w:r>
    </w:p>
    <w:p>
      <w:pPr>
        <w:spacing w:before="0" w:after="48"/>
      </w:pPr>
      <w:r>
        <w:rPr>
          <w:rFonts w:ascii="Georgia" w:hAnsi="Georgia"/>
          <w:color w:val="3A2000"/>
          <w:sz w:val="22"/>
        </w:rPr>
        <w:t>For each node i, update rolling estimates using exponential moving average (alpha = 0.04): nAttempts_i = nAttempts_i x 0.96 + delta_attempts_i; nSuccesses_i = nSuccesses_i x 0.96 + delta_successes_i; health_i = nSuccesses_i / nAttempts_i.</w:t>
      </w:r>
    </w:p>
    <w:p>
      <w:pPr>
        <w:spacing w:before="240" w:after="80"/>
      </w:pPr>
      <w:r>
        <w:rPr>
          <w:rFonts w:ascii="Georgia" w:hAnsi="Georgia"/>
          <w:b/>
          <w:i/>
          <w:color w:val="4A3808"/>
          <w:sz w:val="23"/>
        </w:rPr>
        <w:t>Phase 5 -- Garbage collection</w:t>
      </w:r>
    </w:p>
    <w:p>
      <w:pPr>
        <w:spacing w:before="0" w:after="48"/>
      </w:pPr>
      <w:r>
        <w:rPr>
          <w:rFonts w:ascii="Courier New" w:hAnsi="Courier New"/>
          <w:b w:val="0"/>
          <w:i w:val="0"/>
          <w:color w:val="4A3808"/>
          <w:sz w:val="20"/>
        </w:rPr>
        <w:t>flashAge</w:t>
      </w:r>
      <w:r>
        <w:rPr>
          <w:rFonts w:ascii="Georgia" w:hAnsi="Georgia"/>
          <w:color w:val="3A2000"/>
          <w:sz w:val="22"/>
        </w:rPr>
        <w:t xml:space="preserve"> is incremented for all non-active obligations. Any non-active obligation with flashAge &gt; 32 is removed.</w:t>
      </w:r>
    </w:p>
    <w:p>
      <w:pPr>
        <w:spacing w:before="240" w:after="80"/>
      </w:pPr>
      <w:r>
        <w:rPr>
          <w:rFonts w:ascii="Georgia" w:hAnsi="Georgia"/>
          <w:b/>
          <w:i/>
          <w:color w:val="4A3808"/>
          <w:sz w:val="23"/>
        </w:rPr>
        <w:t>Phase 6 -- Statistics computation</w:t>
      </w:r>
    </w:p>
    <w:p>
      <w:pPr>
        <w:spacing w:before="0" w:after="48"/>
      </w:pPr>
      <w:r>
        <w:rPr>
          <w:rFonts w:ascii="Georgia" w:hAnsi="Georgia"/>
          <w:color w:val="3A2000"/>
          <w:sz w:val="22"/>
        </w:rPr>
        <w:t xml:space="preserve">Aggregate stats are computed: avgCoherence, avgTrust, avgDebt, avgIAT, minCoherence. IRI components are computed (see Section 8). Top 5 contradiction types ranked by cumulative count. If </w:t>
      </w:r>
      <w:r>
        <w:rPr>
          <w:rFonts w:ascii="Courier New" w:hAnsi="Courier New"/>
          <w:b w:val="0"/>
          <w:i w:val="0"/>
          <w:color w:val="4A3808"/>
          <w:sz w:val="20"/>
        </w:rPr>
        <w:t>step_count % STEPS_PER_GEN === 0</w:t>
      </w:r>
      <w:r>
        <w:rPr>
          <w:rFonts w:ascii="Georgia" w:hAnsi="Georgia"/>
          <w:color w:val="3A2000"/>
          <w:sz w:val="22"/>
        </w:rPr>
        <w:t>: increment generation, append row to history arrays.</w:t>
      </w:r>
    </w:p>
    <w:p>
      <w:pPr>
        <w:spacing w:before="480" w:after="160"/>
        <w:pBdr>
          <w:bottom w:val="single" w:sz="8" w:space="1" w:color="C49020"/>
        </w:pBdr>
      </w:pPr>
      <w:r>
        <w:rPr>
          <w:rFonts w:ascii="Georgia" w:hAnsi="Georgia"/>
          <w:b/>
          <w:color w:val="3A2000"/>
          <w:sz w:val="34"/>
        </w:rPr>
        <w:t>8.  Output Metrics</w:t>
      </w:r>
    </w:p>
    <w:p>
      <w:pPr>
        <w:spacing w:before="360" w:after="120"/>
      </w:pPr>
      <w:r>
        <w:rPr>
          <w:rFonts w:ascii="Georgia" w:hAnsi="Georgia"/>
          <w:b/>
          <w:color w:val="7A5810"/>
          <w:sz w:val="26"/>
        </w:rPr>
        <w:t>8.1  Primary Agent-Level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Metric</w:t>
            </w:r>
          </w:p>
        </w:tc>
        <w:tc>
          <w:tcPr>
            <w:tcW w:type="dxa" w:w="345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Formula</w:t>
            </w:r>
          </w:p>
        </w:tc>
        <w:tc>
          <w:tcPr>
            <w:tcW w:type="dxa" w:w="79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Range</w:t>
            </w:r>
          </w:p>
        </w:tc>
        <w:tc>
          <w:tcPr>
            <w:tcW w:type="dxa" w:w="331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Interpretation</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avgCoherence</w:t>
            </w:r>
          </w:p>
        </w:tc>
        <w:tc>
          <w:tcPr>
            <w:tcW w:type="dxa" w:w="34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mean(a.legalCoherence)</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[0,1]</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Mean structural integrity of MLC participation</w:t>
            </w:r>
          </w:p>
        </w:tc>
      </w:tr>
      <w:tr>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avgTrust</w:t>
            </w:r>
          </w:p>
        </w:tc>
        <w:tc>
          <w:tcPr>
            <w:tcW w:type="dxa" w:w="34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mean(a.trust)</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[0,1]</w:t>
            </w:r>
          </w:p>
        </w:tc>
        <w:tc>
          <w:tcPr>
            <w:tcW w:type="dxa" w:w="331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Mean recognition-layer health -- Nodes 6-7 proxy</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avgDebt</w:t>
            </w:r>
          </w:p>
        </w:tc>
        <w:tc>
          <w:tcPr>
            <w:tcW w:type="dxa" w:w="34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mean(a.contradictionDebt)</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[0,1]</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Mean accumulated unresolved contradiction load</w:t>
            </w:r>
          </w:p>
        </w:tc>
      </w:tr>
      <w:tr>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avgIAT</w:t>
            </w:r>
          </w:p>
        </w:tc>
        <w:tc>
          <w:tcPr>
            <w:tcW w:type="dxa" w:w="345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mean(a.iatScore)</w:t>
            </w:r>
          </w:p>
        </w:tc>
        <w:tc>
          <w:tcPr>
            <w:tcW w:type="dxa" w:w="79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[0,1]</w:t>
            </w:r>
          </w:p>
        </w:tc>
        <w:tc>
          <w:tcPr>
            <w:tcW w:type="dxa" w:w="331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Mean normative agency capacity</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minCoherence</w:t>
            </w:r>
          </w:p>
        </w:tc>
        <w:tc>
          <w:tcPr>
            <w:tcW w:type="dxa" w:w="345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min(a.legalCoherence)</w:t>
            </w:r>
          </w:p>
        </w:tc>
        <w:tc>
          <w:tcPr>
            <w:tcW w:type="dxa" w:w="79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[0,1]</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Minimum coherence -- structural tail risk</w:t>
            </w:r>
          </w:p>
        </w:tc>
      </w:tr>
    </w:tbl>
    <w:p>
      <w:pPr>
        <w:spacing w:before="0" w:after="80"/>
      </w:pPr>
    </w:p>
    <w:p>
      <w:pPr>
        <w:spacing w:before="360" w:after="120"/>
      </w:pPr>
      <w:r>
        <w:rPr>
          <w:rFonts w:ascii="Georgia" w:hAnsi="Georgia"/>
          <w:b/>
          <w:color w:val="7A5810"/>
          <w:sz w:val="26"/>
        </w:rPr>
        <w:t>8.2  IRI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Component</w:t>
            </w:r>
          </w:p>
        </w:tc>
        <w:tc>
          <w:tcPr>
            <w:tcW w:type="dxa" w:w="482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Formula</w:t>
            </w:r>
          </w:p>
        </w:tc>
        <w:tc>
          <w:tcPr>
            <w:tcW w:type="dxa" w:w="86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Weight</w:t>
            </w:r>
          </w:p>
        </w:tc>
        <w:tc>
          <w:tcPr>
            <w:tcW w:type="dxa" w:w="331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Known issue (v1.0)</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iriDL</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1 - mean(dlBuffer) / 12  (60-item rolling window of detection lag samples)</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0.20</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Volatile; low signal-to-noise</w:t>
            </w:r>
          </w:p>
        </w:tc>
      </w:tr>
      <w:tr>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iriRE</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_repairSuccesses / _repairAttempts (cumulative)</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0.30</w:t>
            </w:r>
          </w:p>
        </w:tc>
        <w:tc>
          <w:tcPr>
            <w:tcW w:type="dxa" w:w="331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Saturates to 1.0 by gen ~30 in all architectures -- see Section 10</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iriCR</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avgCoherence</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0.30</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Floors at universal attractor ~0.27 across all architectures</w:t>
            </w:r>
          </w:p>
        </w:tc>
      </w:tr>
      <w:tr>
        <w:tc>
          <w:tcPr>
            <w:tcW w:type="dxa" w:w="187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iriCDScore</w:t>
            </w:r>
          </w:p>
        </w:tc>
        <w:tc>
          <w:tcPr>
            <w:tcW w:type="dxa" w:w="48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1 - avgDebt</w:t>
            </w:r>
          </w:p>
        </w:tc>
        <w:tc>
          <w:tcPr>
            <w:tcW w:type="dxa" w:w="86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0.20</w:t>
            </w:r>
          </w:p>
        </w:tc>
        <w:tc>
          <w:tcPr>
            <w:tcW w:type="dxa" w:w="331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Only discriminating component in high-stress architectures</w:t>
            </w:r>
          </w:p>
        </w:tc>
      </w:tr>
      <w:tr>
        <w:tc>
          <w:tcPr>
            <w:tcW w:type="dxa" w:w="187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iriComposite</w:t>
            </w:r>
          </w:p>
        </w:tc>
        <w:tc>
          <w:tcPr>
            <w:tcW w:type="dxa" w:w="48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0.30*RE + 0.30*CR + 0.20*DL + 0.20*CDScore</w:t>
            </w:r>
          </w:p>
        </w:tc>
        <w:tc>
          <w:tcPr>
            <w:tcW w:type="dxa" w:w="86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1.00</w:t>
            </w:r>
          </w:p>
        </w:tc>
        <w:tc>
          <w:tcPr>
            <w:tcW w:type="dxa" w:w="331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 loses diagnostic power in Authoritarian (r = -0.15 with debt)</w:t>
            </w:r>
          </w:p>
        </w:tc>
      </w:tr>
    </w:tbl>
    <w:p>
      <w:pPr>
        <w:spacing w:before="0" w:after="80"/>
      </w:pPr>
    </w:p>
    <w:p>
      <w:pPr>
        <w:spacing w:before="80" w:after="120"/>
        <w:ind w:left="360" w:right="360"/>
        <w:pBdr>
          <w:left w:val="single" w:sz="20" w:space="8" w:color="993300"/>
        </w:pBdr>
      </w:pPr>
      <w:r>
        <w:rPr>
          <w:rFonts w:ascii="Georgia" w:hAnsi="Georgia"/>
          <w:i/>
          <w:color w:val="4A3808"/>
          <w:sz w:val="20"/>
        </w:rPr>
        <w:t>IRI is not a universal structural comparator in v1.0. In Authoritarian architecture, r(debt, IRI) = -0.15, compared to -0.95 to -0.98 in other architectures. Cross-architecture IRI comparisons should be treated with caution until the iriRE saturation issue (Section 10.1) is resolved.</w:t>
      </w:r>
    </w:p>
    <w:p>
      <w:pPr>
        <w:spacing w:before="360" w:after="120"/>
      </w:pPr>
      <w:r>
        <w:rPr>
          <w:rFonts w:ascii="Georgia" w:hAnsi="Georgia"/>
          <w:b/>
          <w:color w:val="7A5810"/>
          <w:sz w:val="26"/>
        </w:rPr>
        <w:t>8.3  Repair Ratio</w:t>
      </w:r>
    </w:p>
    <w:p>
      <w:pPr>
        <w:spacing w:before="0" w:after="48"/>
      </w:pPr>
      <w:r>
        <w:rPr>
          <w:rFonts w:ascii="Georgia" w:hAnsi="Georgia"/>
          <w:b/>
          <w:i w:val="0"/>
          <w:color w:val="3A2000"/>
          <w:sz w:val="22"/>
        </w:rPr>
        <w:t>Not currently a live metric in the UI</w:t>
      </w:r>
      <w:r>
        <w:rPr>
          <w:rFonts w:ascii="Georgia" w:hAnsi="Georgia"/>
          <w:color w:val="3A2000"/>
          <w:sz w:val="22"/>
        </w:rPr>
        <w:t xml:space="preserve"> -- computed from exported CSV data. Defined as:</w:t>
      </w:r>
    </w:p>
    <w:p>
      <w:pPr>
        <w:jc w:val="center"/>
        <w:spacing w:before="100" w:after="100"/>
      </w:pPr>
      <w:r>
        <w:rPr>
          <w:rFonts w:ascii="Courier New" w:hAnsi="Courier New"/>
          <w:b/>
          <w:color w:val="7A5810"/>
          <w:sz w:val="22"/>
        </w:rPr>
        <w:t>RepairRatio = Delta_Fulfilled / Delta_Denied   (over any time window)</w:t>
      </w:r>
    </w:p>
    <w:p>
      <w:pPr>
        <w:spacing w:before="0" w:after="48"/>
      </w:pPr>
      <w:r>
        <w:rPr>
          <w:rFonts w:ascii="Georgia" w:hAnsi="Georgia"/>
          <w:color w:val="3A2000"/>
          <w:sz w:val="22"/>
        </w:rPr>
        <w:t>Empirically, RepairRatio is the most architecture-discriminating structural metric in v1.0 data, with a range from 0.001 (Authoritarian) to 1.548 (Pluralist). Its inclusion as a live metric is a priority for v1.1.</w:t>
      </w:r>
    </w:p>
    <w:p>
      <w:pPr>
        <w:spacing w:before="360" w:after="120"/>
      </w:pPr>
      <w:r>
        <w:rPr>
          <w:rFonts w:ascii="Georgia" w:hAnsi="Georgia"/>
          <w:b/>
          <w:color w:val="7A5810"/>
          <w:sz w:val="26"/>
        </w:rPr>
        <w:t>8.4  Time-Series Export Schema</w:t>
      </w:r>
    </w:p>
    <w:p>
      <w:pPr>
        <w:spacing w:before="0" w:after="48"/>
      </w:pPr>
      <w:r>
        <w:rPr>
          <w:rFonts w:ascii="Georgia" w:hAnsi="Georgia"/>
          <w:color w:val="3A2000"/>
          <w:sz w:val="22"/>
        </w:rPr>
        <w:t xml:space="preserve">Each row in the exported </w:t>
      </w:r>
      <w:r>
        <w:rPr>
          <w:rFonts w:ascii="Courier New" w:hAnsi="Courier New"/>
          <w:b w:val="0"/>
          <w:i w:val="0"/>
          <w:color w:val="4A3808"/>
          <w:sz w:val="20"/>
        </w:rPr>
        <w:t>fullHistory</w:t>
      </w:r>
      <w:r>
        <w:rPr>
          <w:rFonts w:ascii="Georgia" w:hAnsi="Georgia"/>
          <w:color w:val="3A2000"/>
          <w:sz w:val="22"/>
        </w:rPr>
        <w:t xml:space="preserve"> CSV corresponds to one generation:</w:t>
      </w:r>
    </w:p>
    <w:p>
      <w:pPr>
        <w:spacing w:before="0" w:after="80"/>
      </w:pP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Column</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Type</w:t>
            </w:r>
          </w:p>
        </w:tc>
        <w:tc>
          <w:tcPr>
            <w:tcW w:type="dxa" w:w="684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Description</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g</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integer</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Generation number</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coherence</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avgCoherence at end of generation</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debt</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avgDebt</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trust</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avgTrust</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avgIAT</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iri</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iriComposite</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iriDL</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Detection Latency component</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iriRE</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Repair Efficiency component</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iriCR</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Coherence Retention component</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minCoherence</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float</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Minimum agent coherence</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pop</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integer</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Agent population count</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arch</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string</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Architecture key at time of recording</w:t>
            </w:r>
          </w:p>
        </w:tc>
      </w:tr>
      <w:tr>
        <w:tc>
          <w:tcPr>
            <w:tcW w:type="dxa" w:w="158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fulfilled</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integer</w:t>
            </w:r>
          </w:p>
        </w:tc>
        <w:tc>
          <w:tcPr>
            <w:tcW w:type="dxa" w:w="68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Cumulative fulfilled obligations</w:t>
            </w:r>
          </w:p>
        </w:tc>
      </w:tr>
      <w:tr>
        <w:tc>
          <w:tcPr>
            <w:tcW w:type="dxa" w:w="158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denied</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integer</w:t>
            </w:r>
          </w:p>
        </w:tc>
        <w:tc>
          <w:tcPr>
            <w:tcW w:type="dxa" w:w="68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Cumulative denied obligations</w:t>
            </w:r>
          </w:p>
        </w:tc>
      </w:tr>
    </w:tbl>
    <w:p>
      <w:pPr>
        <w:spacing w:before="0" w:after="80"/>
      </w:pPr>
    </w:p>
    <w:p>
      <w:pPr>
        <w:spacing w:before="80" w:after="120"/>
        <w:ind w:left="360" w:right="360"/>
        <w:pBdr>
          <w:left w:val="single" w:sz="20" w:space="8" w:color="993300"/>
        </w:pBdr>
      </w:pPr>
      <w:r>
        <w:rPr>
          <w:rFonts w:ascii="Georgia" w:hAnsi="Georgia"/>
          <w:i/>
          <w:color w:val="4A3808"/>
          <w:sz w:val="20"/>
        </w:rPr>
        <w:t>The 'arch' column records the architecture active at the time of each generation snapshot. If the architecture is changed during a run without resetting, exported data will contain mixed-architecture rows. Always reset before switching architecture for single-architecture analyses.</w:t>
      </w:r>
    </w:p>
    <w:p>
      <w:pPr>
        <w:spacing w:before="480" w:after="160"/>
        <w:pBdr>
          <w:bottom w:val="single" w:sz="8" w:space="1" w:color="C49020"/>
        </w:pBdr>
      </w:pPr>
      <w:r>
        <w:rPr>
          <w:rFonts w:ascii="Georgia" w:hAnsi="Georgia"/>
          <w:b/>
          <w:color w:val="3A2000"/>
          <w:sz w:val="34"/>
        </w:rPr>
        <w:t>9.  Science Hub -- Hypothesis Testing Methodology</w:t>
      </w:r>
    </w:p>
    <w:p>
      <w:pPr>
        <w:spacing w:before="360" w:after="120"/>
      </w:pPr>
      <w:r>
        <w:rPr>
          <w:rFonts w:ascii="Georgia" w:hAnsi="Georgia"/>
          <w:b/>
          <w:color w:val="7A5810"/>
          <w:sz w:val="26"/>
        </w:rPr>
        <w:t>9.1  Overview</w:t>
      </w:r>
    </w:p>
    <w:p>
      <w:pPr>
        <w:spacing w:before="0" w:after="48"/>
      </w:pPr>
      <w:r>
        <w:rPr>
          <w:rFonts w:ascii="Georgia" w:hAnsi="Georgia"/>
          <w:color w:val="3A2000"/>
          <w:sz w:val="22"/>
        </w:rPr>
        <w:t>The Science Hub is an in-browser experimental module that runs formal hypothesis tests derived from SOoL theoretical predictions. All computation is performed client-side using seeded pseudo-random number generation, ensuring reproducibility. Three test types are supported: comparative Welch t-test, lag correlation analysis, and sensitivity analysis.</w:t>
      </w:r>
    </w:p>
    <w:p>
      <w:pPr>
        <w:spacing w:before="360" w:after="120"/>
      </w:pPr>
      <w:r>
        <w:rPr>
          <w:rFonts w:ascii="Georgia" w:hAnsi="Georgia"/>
          <w:b/>
          <w:color w:val="7A5810"/>
          <w:sz w:val="26"/>
        </w:rPr>
        <w:t>9.2  Seeded Random Number Generator</w:t>
      </w:r>
    </w:p>
    <w:p>
      <w:pPr>
        <w:spacing w:before="0" w:after="48"/>
      </w:pPr>
      <w:r>
        <w:rPr>
          <w:rFonts w:ascii="Georgia" w:hAnsi="Georgia"/>
          <w:color w:val="3A2000"/>
          <w:sz w:val="22"/>
        </w:rPr>
        <w:t>Batch experiments use a deterministic LCG-based seeded RNG to override Math.random() for the duration of each run:</w:t>
      </w:r>
    </w:p>
    <w:p>
      <w:pPr>
        <w:spacing w:before="40" w:after="40"/>
        <w:ind w:left="360" w:right="360"/>
      </w:pPr>
      <w:r>
        <w:rPr>
          <w:rFonts w:ascii="Courier New" w:hAnsi="Courier New"/>
          <w:color w:val="4A3808"/>
          <w:sz w:val="19"/>
        </w:rPr>
        <w:t xml:space="preserve">  s = s + 0x6D2B79F5 | 0</w:t>
      </w:r>
    </w:p>
    <w:p>
      <w:pPr>
        <w:spacing w:before="40" w:after="40"/>
        <w:ind w:left="360" w:right="360"/>
      </w:pPr>
      <w:r>
        <w:rPr>
          <w:rFonts w:ascii="Courier New" w:hAnsi="Courier New"/>
          <w:color w:val="4A3808"/>
          <w:sz w:val="19"/>
        </w:rPr>
        <w:t xml:space="preserve">  t = Math.imul(s ^ s&gt;&gt;&gt;15, 1|s)</w:t>
      </w:r>
    </w:p>
    <w:p>
      <w:pPr>
        <w:spacing w:before="40" w:after="40"/>
        <w:ind w:left="360" w:right="360"/>
      </w:pPr>
      <w:r>
        <w:rPr>
          <w:rFonts w:ascii="Courier New" w:hAnsi="Courier New"/>
          <w:color w:val="4A3808"/>
          <w:sz w:val="19"/>
        </w:rPr>
        <w:t xml:space="preserve">  t = t + Math.imul(t ^ t&gt;&gt;&gt;7, 61|t) ^ t</w:t>
      </w:r>
    </w:p>
    <w:p>
      <w:pPr>
        <w:spacing w:before="40" w:after="40"/>
        <w:ind w:left="360" w:right="360"/>
      </w:pPr>
      <w:r>
        <w:rPr>
          <w:rFonts w:ascii="Courier New" w:hAnsi="Courier New"/>
          <w:color w:val="4A3808"/>
          <w:sz w:val="19"/>
        </w:rPr>
        <w:t xml:space="preserve">  return ((t ^ t&gt;&gt;&gt;14) &gt;&gt;&gt; 0) / 4294967296</w:t>
      </w:r>
    </w:p>
    <w:p>
      <w:pPr>
        <w:spacing w:before="0" w:after="48"/>
      </w:pPr>
      <w:r>
        <w:rPr>
          <w:rFonts w:ascii="Georgia" w:hAnsi="Georgia"/>
          <w:color w:val="3A2000"/>
          <w:sz w:val="22"/>
        </w:rPr>
        <w:t>Seeds are independently derived for each condition and replicate to ensure that condition differences reflect architecture parameters, not shared random draws.</w:t>
      </w:r>
    </w:p>
    <w:p>
      <w:pPr>
        <w:spacing w:before="360" w:after="120"/>
      </w:pPr>
      <w:r>
        <w:rPr>
          <w:rFonts w:ascii="Georgia" w:hAnsi="Georgia"/>
          <w:b/>
          <w:color w:val="7A5810"/>
          <w:sz w:val="26"/>
        </w:rPr>
        <w:t>9.3  Comparative Test (Welch t-test)</w:t>
      </w:r>
    </w:p>
    <w:p>
      <w:pPr>
        <w:spacing w:before="0" w:after="48"/>
      </w:pPr>
      <w:r>
        <w:rPr>
          <w:rFonts w:ascii="Georgia" w:hAnsi="Georgia"/>
          <w:color w:val="3A2000"/>
          <w:sz w:val="22"/>
        </w:rPr>
        <w:t>For hypotheses comparing two conditions A and B on a scalar metric:</w:t>
      </w:r>
    </w:p>
    <w:p>
      <w:pPr>
        <w:pStyle w:val="ListNumber"/>
        <w:spacing w:before="0" w:after="80"/>
      </w:pPr>
      <w:r>
        <w:rPr>
          <w:rFonts w:ascii="Georgia" w:hAnsi="Georgia"/>
          <w:color w:val="3A2000"/>
          <w:sz w:val="22"/>
        </w:rPr>
        <w:t xml:space="preserve">Run </w:t>
      </w:r>
      <w:r>
        <w:rPr>
          <w:rFonts w:ascii="Courier New" w:hAnsi="Courier New"/>
          <w:b w:val="0"/>
          <w:i w:val="0"/>
          <w:color w:val="4A3808"/>
          <w:sz w:val="20"/>
        </w:rPr>
        <w:t>nReps</w:t>
      </w:r>
      <w:r>
        <w:rPr>
          <w:rFonts w:ascii="Georgia" w:hAnsi="Georgia"/>
          <w:color w:val="3A2000"/>
          <w:sz w:val="22"/>
        </w:rPr>
        <w:t xml:space="preserve"> independent simulations for each condition using architecture-specific seeds.</w:t>
      </w:r>
    </w:p>
    <w:p>
      <w:pPr>
        <w:pStyle w:val="ListNumber"/>
        <w:spacing w:before="0" w:after="80"/>
      </w:pPr>
      <w:r>
        <w:rPr>
          <w:rFonts w:ascii="Georgia" w:hAnsi="Georgia"/>
          <w:color w:val="3A2000"/>
          <w:sz w:val="22"/>
        </w:rPr>
        <w:t>Record the target metric (coherence, debt, trust, or iri) at end-of-run for each replicate.</w:t>
      </w:r>
    </w:p>
    <w:p>
      <w:pPr>
        <w:pStyle w:val="ListNumber"/>
        <w:spacing w:before="0" w:after="80"/>
      </w:pPr>
      <w:r>
        <w:rPr>
          <w:rFonts w:ascii="Georgia" w:hAnsi="Georgia"/>
          <w:color w:val="3A2000"/>
          <w:sz w:val="22"/>
        </w:rPr>
        <w:t>Apply two-sample Welch t-test (unequal variances):  t = (x_bar_A - x_bar_B) / sqrt(s^2_A/n + s^2_B/n)</w:t>
      </w:r>
    </w:p>
    <w:p>
      <w:pPr>
        <w:pStyle w:val="ListNumber"/>
        <w:spacing w:before="0" w:after="80"/>
      </w:pPr>
      <w:r>
        <w:rPr>
          <w:rFonts w:ascii="Georgia" w:hAnsi="Georgia"/>
          <w:color w:val="3A2000"/>
          <w:sz w:val="22"/>
        </w:rPr>
        <w:t>Compute p-value from two-tailed t-distribution using polynomial approximation of the standard normal CDF.</w:t>
      </w:r>
    </w:p>
    <w:p>
      <w:pPr>
        <w:pStyle w:val="ListNumber"/>
        <w:spacing w:before="0" w:after="80"/>
      </w:pPr>
      <w:r>
        <w:rPr>
          <w:rFonts w:ascii="Georgia" w:hAnsi="Georgia"/>
          <w:color w:val="3A2000"/>
          <w:sz w:val="22"/>
        </w:rPr>
        <w:t>Determine verdict:</w:t>
      </w:r>
    </w:p>
    <w:p>
      <w:pPr>
        <w:spacing w:before="0" w:after="80"/>
      </w:pP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Verdict</w:t>
            </w:r>
          </w:p>
        </w:tc>
        <w:tc>
          <w:tcPr>
            <w:tcW w:type="dxa" w:w="770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Condition</w:t>
            </w:r>
          </w:p>
        </w:tc>
      </w:tr>
      <w:tr>
        <w:tc>
          <w:tcPr>
            <w:tcW w:type="dxa" w:w="172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SUPPORTED</w:t>
            </w:r>
          </w:p>
        </w:tc>
        <w:tc>
          <w:tcPr>
            <w:tcW w:type="dxa" w:w="77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 &lt; 0.05 and direction of effect matches hypothesis prediction</w:t>
            </w:r>
          </w:p>
        </w:tc>
      </w:tr>
      <w:tr>
        <w:tc>
          <w:tcPr>
            <w:tcW w:type="dxa" w:w="172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WEAK</w:t>
            </w:r>
          </w:p>
        </w:tc>
        <w:tc>
          <w:tcPr>
            <w:tcW w:type="dxa" w:w="770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0.05 &lt;= p &lt; 0.20 and correct direction</w:t>
            </w:r>
          </w:p>
        </w:tc>
      </w:tr>
      <w:tr>
        <w:tc>
          <w:tcPr>
            <w:tcW w:type="dxa" w:w="172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REFUTED</w:t>
            </w:r>
          </w:p>
        </w:tc>
        <w:tc>
          <w:tcPr>
            <w:tcW w:type="dxa" w:w="77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 &gt;= 0.20, or correct threshold met but wrong direction</w:t>
            </w:r>
          </w:p>
        </w:tc>
      </w:tr>
      <w:tr>
        <w:tc>
          <w:tcPr>
            <w:tcW w:type="dxa" w:w="172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INCONCLUSIVE</w:t>
            </w:r>
          </w:p>
        </w:tc>
        <w:tc>
          <w:tcPr>
            <w:tcW w:type="dxa" w:w="770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Returned only by sensitivity test when dominance is unclear</w:t>
            </w:r>
          </w:p>
        </w:tc>
      </w:tr>
    </w:tbl>
    <w:p>
      <w:pPr>
        <w:spacing w:before="0" w:after="80"/>
      </w:pPr>
    </w:p>
    <w:p>
      <w:pPr>
        <w:spacing w:before="0" w:after="48"/>
      </w:pPr>
      <w:r>
        <w:rPr>
          <w:rFonts w:ascii="Georgia" w:hAnsi="Georgia"/>
          <w:color w:val="3A2000"/>
          <w:sz w:val="22"/>
        </w:rPr>
        <w:t>Default settings: nReps = 12, depth = 200 generations, seed = 42.</w:t>
      </w:r>
    </w:p>
    <w:p>
      <w:pPr>
        <w:spacing w:before="360" w:after="120"/>
      </w:pPr>
      <w:r>
        <w:rPr>
          <w:rFonts w:ascii="Georgia" w:hAnsi="Georgia"/>
          <w:b/>
          <w:color w:val="7A5810"/>
          <w:sz w:val="26"/>
        </w:rPr>
        <w:t>9.4  Lag Correlation Analysis</w:t>
      </w:r>
    </w:p>
    <w:p>
      <w:pPr>
        <w:spacing w:before="0" w:after="48"/>
      </w:pPr>
      <w:r>
        <w:rPr>
          <w:rFonts w:ascii="Georgia" w:hAnsi="Georgia"/>
          <w:color w:val="3A2000"/>
          <w:sz w:val="22"/>
        </w:rPr>
        <w:t>Used for hypotheses predicting that one time series leads another by k generations:</w:t>
      </w:r>
    </w:p>
    <w:p>
      <w:pPr>
        <w:pStyle w:val="ListNumber"/>
        <w:spacing w:before="0" w:after="80"/>
      </w:pPr>
      <w:r>
        <w:rPr>
          <w:rFonts w:ascii="Georgia" w:hAnsi="Georgia"/>
          <w:color w:val="3A2000"/>
          <w:sz w:val="22"/>
        </w:rPr>
        <w:t>Run a single long simulation (depth x 5 generations) in the target architecture.</w:t>
      </w:r>
    </w:p>
    <w:p>
      <w:pPr>
        <w:pStyle w:val="ListNumber"/>
        <w:spacing w:before="0" w:after="80"/>
      </w:pPr>
      <w:r>
        <w:rPr>
          <w:rFonts w:ascii="Georgia" w:hAnsi="Georgia"/>
          <w:color w:val="3A2000"/>
          <w:sz w:val="22"/>
        </w:rPr>
        <w:t>Record debt and coherence at each generation.</w:t>
      </w:r>
    </w:p>
    <w:p>
      <w:pPr>
        <w:pStyle w:val="ListNumber"/>
        <w:spacing w:before="0" w:after="80"/>
      </w:pPr>
      <w:r>
        <w:rPr>
          <w:rFonts w:ascii="Georgia" w:hAnsi="Georgia"/>
          <w:color w:val="3A2000"/>
          <w:sz w:val="22"/>
        </w:rPr>
        <w:t>Compute coherence decline series: delta_coherence_t = coherence_t - coherence_{t+1}.</w:t>
      </w:r>
    </w:p>
    <w:p>
      <w:pPr>
        <w:pStyle w:val="ListNumber"/>
        <w:spacing w:before="0" w:after="80"/>
      </w:pPr>
      <w:r>
        <w:rPr>
          <w:rFonts w:ascii="Georgia" w:hAnsi="Georgia"/>
          <w:color w:val="3A2000"/>
          <w:sz w:val="22"/>
        </w:rPr>
        <w:t>Compute Pearson r between debt[0..n-lag] and delta_coherence[lag..n] for lag = 0..maxLag.</w:t>
      </w:r>
    </w:p>
    <w:p>
      <w:pPr>
        <w:pStyle w:val="ListNumber"/>
        <w:spacing w:before="0" w:after="80"/>
      </w:pPr>
      <w:r>
        <w:rPr>
          <w:rFonts w:ascii="Georgia" w:hAnsi="Georgia"/>
          <w:color w:val="3A2000"/>
          <w:sz w:val="22"/>
        </w:rPr>
        <w:t>Report peak r and lag k. Verdict: SUPPORTED if peak r &gt; 0.35 at lag k &gt; 0.</w:t>
      </w:r>
    </w:p>
    <w:p>
      <w:pPr>
        <w:spacing w:before="0" w:after="80"/>
      </w:pPr>
    </w:p>
    <w:p>
      <w:pPr>
        <w:spacing w:before="80" w:after="120"/>
        <w:ind w:left="360" w:right="360"/>
        <w:pBdr>
          <w:left w:val="single" w:sz="20" w:space="8" w:color="C49020"/>
        </w:pBdr>
      </w:pPr>
      <w:r>
        <w:rPr>
          <w:rFonts w:ascii="Georgia" w:hAnsi="Georgia"/>
          <w:i/>
          <w:color w:val="4A3808"/>
          <w:sz w:val="20"/>
        </w:rPr>
        <w:t>The lag test fails for Authoritarian architecture because coherence floors near 0.27 within 50 generations and has insufficient variance thereafter. The correct reformulation is to use trust decline rate as the dependent variable, which has substantial variance throughout Authoritarian runs. This is documented as H4-Revision in Section 10.3.</w:t>
      </w:r>
    </w:p>
    <w:p>
      <w:pPr>
        <w:spacing w:before="360" w:after="120"/>
      </w:pPr>
      <w:r>
        <w:rPr>
          <w:rFonts w:ascii="Georgia" w:hAnsi="Georgia"/>
          <w:b/>
          <w:color w:val="7A5810"/>
          <w:sz w:val="26"/>
        </w:rPr>
        <w:t>9.5  Sensitivity Analysis</w:t>
      </w:r>
    </w:p>
    <w:p>
      <w:pPr>
        <w:pStyle w:val="ListNumber"/>
        <w:spacing w:before="0" w:after="80"/>
      </w:pPr>
      <w:r>
        <w:rPr>
          <w:rFonts w:ascii="Georgia" w:hAnsi="Georgia"/>
          <w:color w:val="3A2000"/>
          <w:sz w:val="22"/>
        </w:rPr>
        <w:t>For each parameter in the test set, sample at 4 levels from PARAM_SPACE.</w:t>
      </w:r>
    </w:p>
    <w:p>
      <w:pPr>
        <w:pStyle w:val="ListNumber"/>
        <w:spacing w:before="0" w:after="80"/>
      </w:pPr>
      <w:r>
        <w:rPr>
          <w:rFonts w:ascii="Georgia" w:hAnsi="Georgia"/>
          <w:color w:val="3A2000"/>
          <w:sz w:val="22"/>
        </w:rPr>
        <w:t>Run 4 replicates per level in a fixed architecture (default: Pluralist).</w:t>
      </w:r>
    </w:p>
    <w:p>
      <w:pPr>
        <w:pStyle w:val="ListNumber"/>
        <w:spacing w:before="0" w:after="80"/>
      </w:pPr>
      <w:r>
        <w:rPr>
          <w:rFonts w:ascii="Georgia" w:hAnsi="Georgia"/>
          <w:color w:val="3A2000"/>
          <w:sz w:val="22"/>
        </w:rPr>
        <w:t>Compute mean metric value per level.</w:t>
      </w:r>
    </w:p>
    <w:p>
      <w:pPr>
        <w:pStyle w:val="ListNumber"/>
        <w:spacing w:before="0" w:after="80"/>
      </w:pPr>
      <w:r>
        <w:rPr>
          <w:rFonts w:ascii="Georgia" w:hAnsi="Georgia"/>
          <w:color w:val="3A2000"/>
          <w:sz w:val="22"/>
        </w:rPr>
        <w:t>Compute sensitivity range = max(level means) - min(level means).</w:t>
      </w:r>
    </w:p>
    <w:p>
      <w:pPr>
        <w:pStyle w:val="ListNumber"/>
        <w:spacing w:before="0" w:after="80"/>
      </w:pPr>
      <w:r>
        <w:rPr>
          <w:rFonts w:ascii="Georgia" w:hAnsi="Georgia"/>
          <w:color w:val="3A2000"/>
          <w:sz w:val="22"/>
        </w:rPr>
        <w:t>Verdict: SUPPORTED if the first-listed parameter has the largest range.</w:t>
      </w:r>
    </w:p>
    <w:p>
      <w:pPr>
        <w:spacing w:before="360" w:after="120"/>
      </w:pPr>
      <w:r>
        <w:rPr>
          <w:rFonts w:ascii="Georgia" w:hAnsi="Georgia"/>
          <w:b/>
          <w:color w:val="7A5810"/>
          <w:sz w:val="26"/>
        </w:rPr>
        <w:t>9.6  Built-in Hypotheses (v1.0)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0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ID</w:t>
            </w:r>
          </w:p>
        </w:tc>
        <w:tc>
          <w:tcPr>
            <w:tcW w:type="dxa" w:w="4032"/>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Label</w:t>
            </w:r>
          </w:p>
        </w:tc>
        <w:tc>
          <w:tcPr>
            <w:tcW w:type="dxa" w:w="122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Type</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Metric</w:t>
            </w:r>
          </w:p>
        </w:tc>
        <w:tc>
          <w:tcPr>
            <w:tcW w:type="dxa" w:w="144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Cond A</w:t>
            </w:r>
          </w:p>
        </w:tc>
        <w:tc>
          <w:tcPr>
            <w:tcW w:type="dxa" w:w="1944"/>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Cond B / Arch</w:t>
            </w:r>
          </w:p>
        </w:tc>
      </w:tr>
      <w:tr>
        <w:tc>
          <w:tcPr>
            <w:tcW w:type="dxa" w:w="5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H1</w:t>
            </w:r>
          </w:p>
        </w:tc>
        <w:tc>
          <w:tcPr>
            <w:tcW w:type="dxa" w:w="403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Authoritarian produces 3x higher CD than Rule of Law</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debt</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Authoritarian</w:t>
            </w:r>
          </w:p>
        </w:tc>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Rule of Law</w:t>
            </w:r>
          </w:p>
        </w:tc>
      </w:tr>
      <w:tr>
        <w:tc>
          <w:tcPr>
            <w:tcW w:type="dxa" w:w="50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H2</w:t>
            </w:r>
          </w:p>
        </w:tc>
        <w:tc>
          <w:tcPr>
            <w:tcW w:type="dxa" w:w="403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Collapsed produces coherence collapse vs. Rule of Law</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coherence</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Collapsed</w:t>
            </w:r>
          </w:p>
        </w:tc>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Rule of Law</w:t>
            </w:r>
          </w:p>
        </w:tc>
      </w:tr>
      <w:tr>
        <w:tc>
          <w:tcPr>
            <w:tcW w:type="dxa" w:w="5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H3</w:t>
            </w:r>
          </w:p>
        </w:tc>
        <w:tc>
          <w:tcPr>
            <w:tcW w:type="dxa" w:w="403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High-IAT population produces lower CD than low-IAT</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debt</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iatMean=0.80</w:t>
            </w:r>
          </w:p>
        </w:tc>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iatMean=0.25</w:t>
            </w:r>
          </w:p>
        </w:tc>
      </w:tr>
      <w:tr>
        <w:tc>
          <w:tcPr>
            <w:tcW w:type="dxa" w:w="50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H4</w:t>
            </w:r>
          </w:p>
        </w:tc>
        <w:tc>
          <w:tcPr>
            <w:tcW w:type="dxa" w:w="403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CD rise leads coherence decline in Authoritarian (lag)</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Lag</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Authoritarian</w:t>
            </w:r>
          </w:p>
        </w:tc>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k=0..maxLag</w:t>
            </w:r>
          </w:p>
        </w:tc>
      </w:tr>
      <w:tr>
        <w:tc>
          <w:tcPr>
            <w:tcW w:type="dxa" w:w="5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H5</w:t>
            </w:r>
          </w:p>
        </w:tc>
        <w:tc>
          <w:tcPr>
            <w:tcW w:type="dxa" w:w="403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Repair rate dominates chain decay as IRI predictor</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Sensitivity</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repairRate</w:t>
            </w:r>
          </w:p>
        </w:tc>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chainDecay</w:t>
            </w:r>
          </w:p>
        </w:tc>
      </w:tr>
      <w:tr>
        <w:tc>
          <w:tcPr>
            <w:tcW w:type="dxa" w:w="50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H6</w:t>
            </w:r>
          </w:p>
        </w:tc>
        <w:tc>
          <w:tcPr>
            <w:tcW w:type="dxa" w:w="4032"/>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Natural Law outperforms Positivist on IRI</w:t>
            </w:r>
          </w:p>
        </w:tc>
        <w:tc>
          <w:tcPr>
            <w:tcW w:type="dxa" w:w="122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iri</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Natural Law</w:t>
            </w:r>
          </w:p>
        </w:tc>
        <w:tc>
          <w:tcPr>
            <w:tcW w:type="dxa" w:w="1944"/>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Positivist</w:t>
            </w:r>
          </w:p>
        </w:tc>
      </w:tr>
      <w:tr>
        <w:tc>
          <w:tcPr>
            <w:tcW w:type="dxa" w:w="50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H7</w:t>
            </w:r>
          </w:p>
        </w:tc>
        <w:tc>
          <w:tcPr>
            <w:tcW w:type="dxa" w:w="4032"/>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Ext. pressure collapses Authoritarian but not Pluralist</w:t>
            </w:r>
          </w:p>
        </w:tc>
        <w:tc>
          <w:tcPr>
            <w:tcW w:type="dxa" w:w="122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Welch</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coherence</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Auth P=0.70</w:t>
            </w:r>
          </w:p>
        </w:tc>
        <w:tc>
          <w:tcPr>
            <w:tcW w:type="dxa" w:w="1944"/>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Plur P=0.70</w:t>
            </w:r>
          </w:p>
        </w:tc>
      </w:tr>
    </w:tbl>
    <w:p>
      <w:pPr>
        <w:spacing w:before="0" w:after="80"/>
      </w:pPr>
    </w:p>
    <w:p>
      <w:pPr>
        <w:spacing w:before="480" w:after="160"/>
        <w:pBdr>
          <w:bottom w:val="single" w:sz="8" w:space="1" w:color="C49020"/>
        </w:pBdr>
      </w:pPr>
      <w:r>
        <w:rPr>
          <w:rFonts w:ascii="Georgia" w:hAnsi="Georgia"/>
          <w:b/>
          <w:color w:val="3A2000"/>
          <w:sz w:val="34"/>
        </w:rPr>
        <w:t>10.  Known Calibration Issues -- Version 1.0</w:t>
      </w:r>
    </w:p>
    <w:p>
      <w:pPr>
        <w:spacing w:before="0" w:after="48"/>
      </w:pPr>
      <w:r>
        <w:rPr>
          <w:rFonts w:ascii="Georgia" w:hAnsi="Georgia"/>
          <w:color w:val="3A2000"/>
          <w:sz w:val="22"/>
        </w:rPr>
        <w:t>The following issues were identified during initial empirical runs (four architectures, 244-1599 generations each). They affect the interpretation of v1.0 results and are prioritised for resolution in v1.1.</w:t>
      </w:r>
    </w:p>
    <w:p>
      <w:pPr>
        <w:spacing w:before="360" w:after="120"/>
      </w:pPr>
      <w:r>
        <w:rPr>
          <w:rFonts w:ascii="Georgia" w:hAnsi="Georgia"/>
          <w:b/>
          <w:color w:val="7A5810"/>
          <w:sz w:val="26"/>
        </w:rPr>
        <w:t>10.1  iriRE Saturation (Critical)</w:t>
      </w:r>
    </w:p>
    <w:p>
      <w:pPr>
        <w:spacing w:before="0" w:after="48"/>
      </w:pPr>
      <w:r>
        <w:rPr>
          <w:rFonts w:ascii="Georgia" w:hAnsi="Georgia"/>
          <w:color w:val="3A2000"/>
          <w:sz w:val="22"/>
        </w:rPr>
        <w:t xml:space="preserve">iriRE saturates to 1.0 by generation ~30 in every architecture, including Authoritarian (repair ratio 0.001). Cause: </w:t>
      </w:r>
      <w:r>
        <w:rPr>
          <w:rFonts w:ascii="Courier New" w:hAnsi="Courier New"/>
          <w:b w:val="0"/>
          <w:i w:val="0"/>
          <w:color w:val="4A3808"/>
          <w:sz w:val="20"/>
        </w:rPr>
        <w:t>_repairAttempts</w:t>
      </w:r>
      <w:r>
        <w:rPr>
          <w:rFonts w:ascii="Georgia" w:hAnsi="Georgia"/>
          <w:color w:val="3A2000"/>
          <w:sz w:val="22"/>
        </w:rPr>
        <w:t xml:space="preserve"> and </w:t>
      </w:r>
      <w:r>
        <w:rPr>
          <w:rFonts w:ascii="Courier New" w:hAnsi="Courier New"/>
          <w:b w:val="0"/>
          <w:i w:val="0"/>
          <w:color w:val="4A3808"/>
          <w:sz w:val="20"/>
        </w:rPr>
        <w:t>_repairSuccesses</w:t>
      </w:r>
      <w:r>
        <w:rPr>
          <w:rFonts w:ascii="Georgia" w:hAnsi="Georgia"/>
          <w:color w:val="3A2000"/>
          <w:sz w:val="22"/>
        </w:rPr>
        <w:t xml:space="preserve"> are both incremented on fulfilment, causing the ratio to approach 1.0 as fulfillments accumulate -- even when denial events vastly outnumber fulfillments. In Authoritarian (2 fulfilled, 3,687 denied), iriRE still reads 1.0 after the first two fulfillments.</w:t>
      </w:r>
    </w:p>
    <w:p>
      <w:pPr>
        <w:spacing w:before="0" w:after="48"/>
      </w:pPr>
      <w:r>
        <w:rPr>
          <w:rFonts w:ascii="Georgia" w:hAnsi="Georgia"/>
          <w:b/>
          <w:i w:val="0"/>
          <w:color w:val="3A2000"/>
          <w:sz w:val="22"/>
        </w:rPr>
        <w:t>Proposed fix:</w:t>
      </w:r>
      <w:r>
        <w:rPr>
          <w:rFonts w:ascii="Georgia" w:hAnsi="Georgia"/>
          <w:color w:val="3A2000"/>
          <w:sz w:val="22"/>
        </w:rPr>
        <w:t xml:space="preserve"> Replace cumulative tracking with a rolling window (e.g., 50-generation window) of fulfilled/(fulfilled + denied + expired) ratio.</w:t>
      </w:r>
    </w:p>
    <w:p>
      <w:pPr>
        <w:spacing w:before="360" w:after="120"/>
      </w:pPr>
      <w:r>
        <w:rPr>
          <w:rFonts w:ascii="Georgia" w:hAnsi="Georgia"/>
          <w:b/>
          <w:color w:val="7A5810"/>
          <w:sz w:val="26"/>
        </w:rPr>
        <w:t>10.2  Universal Coherence Floor (Moderate)</w:t>
      </w:r>
    </w:p>
    <w:p>
      <w:pPr>
        <w:spacing w:before="0" w:after="48"/>
      </w:pPr>
      <w:r>
        <w:rPr>
          <w:rFonts w:ascii="Georgia" w:hAnsi="Georgia"/>
          <w:color w:val="3A2000"/>
          <w:sz w:val="22"/>
        </w:rPr>
        <w:t xml:space="preserve">All four tested architectures converge to a coherence attractor near 0.27-0.28. The architecture-specific </w:t>
      </w:r>
      <w:r>
        <w:rPr>
          <w:rFonts w:ascii="Courier New" w:hAnsi="Courier New"/>
          <w:b w:val="0"/>
          <w:i w:val="0"/>
          <w:color w:val="4A3808"/>
          <w:sz w:val="20"/>
        </w:rPr>
        <w:t>coherFloor</w:t>
      </w:r>
      <w:r>
        <w:rPr>
          <w:rFonts w:ascii="Georgia" w:hAnsi="Georgia"/>
          <w:color w:val="3A2000"/>
          <w:sz w:val="22"/>
        </w:rPr>
        <w:t xml:space="preserve"> reset mechanic was designed to produce differentiated floors, but the combined effect of the reset trigger and universal decay dynamics produces a near-universal attractor. Coherence is consequently a poor discriminator between architectures in v1.0.</w:t>
      </w:r>
    </w:p>
    <w:p>
      <w:pPr>
        <w:spacing w:before="0" w:after="48"/>
      </w:pPr>
      <w:r>
        <w:rPr>
          <w:rFonts w:ascii="Georgia" w:hAnsi="Georgia"/>
          <w:b/>
          <w:i w:val="0"/>
          <w:color w:val="3A2000"/>
          <w:sz w:val="22"/>
        </w:rPr>
        <w:t>Proposed fix:</w:t>
      </w:r>
      <w:r>
        <w:rPr>
          <w:rFonts w:ascii="Georgia" w:hAnsi="Georgia"/>
          <w:color w:val="3A2000"/>
          <w:sz w:val="22"/>
        </w:rPr>
        <w:t xml:space="preserve"> Replace the hard reset floor mechanic with a soft mean-reversion pull toward the architecture's characteristic coherence level.</w:t>
      </w:r>
    </w:p>
    <w:p>
      <w:pPr>
        <w:spacing w:before="360" w:after="120"/>
      </w:pPr>
      <w:r>
        <w:rPr>
          <w:rFonts w:ascii="Georgia" w:hAnsi="Georgia"/>
          <w:b/>
          <w:color w:val="7A5810"/>
          <w:sz w:val="26"/>
        </w:rPr>
        <w:t>10.3  H4 Lag Test -- Wrong Dependent Variable (Moderate)</w:t>
      </w:r>
    </w:p>
    <w:p>
      <w:pPr>
        <w:spacing w:before="0" w:after="48"/>
      </w:pPr>
      <w:r>
        <w:rPr>
          <w:rFonts w:ascii="Georgia" w:hAnsi="Georgia"/>
          <w:color w:val="3A2000"/>
          <w:sz w:val="22"/>
        </w:rPr>
        <w:t>The H4 lag test (debt predicts coherence decline) fails in Authoritarian architecture because coherence has no variance after generation 50. The underlying SOoL hypothesis is not false; the dependent variable is wrong for high-stress architectures.</w:t>
      </w:r>
    </w:p>
    <w:p>
      <w:pPr>
        <w:spacing w:before="0" w:after="48"/>
      </w:pPr>
      <w:r>
        <w:rPr>
          <w:rFonts w:ascii="Georgia" w:hAnsi="Georgia"/>
          <w:b/>
          <w:i w:val="0"/>
          <w:color w:val="3A2000"/>
          <w:sz w:val="22"/>
        </w:rPr>
        <w:t>Proposed reformulation:</w:t>
      </w:r>
      <w:r>
        <w:rPr>
          <w:rFonts w:ascii="Georgia" w:hAnsi="Georgia"/>
          <w:color w:val="3A2000"/>
          <w:sz w:val="22"/>
        </w:rPr>
        <w:t xml:space="preserve"> Test lag correlation between debt level and trust decline rate. Trust has substantial variance throughout all architectural runs in v1.0 and is the mechanistically appropriate dependent variable: CD accumulation --&gt; recognition failure --&gt; trust erosion.</w:t>
      </w:r>
    </w:p>
    <w:p>
      <w:pPr>
        <w:spacing w:before="360" w:after="120"/>
      </w:pPr>
      <w:r>
        <w:rPr>
          <w:rFonts w:ascii="Georgia" w:hAnsi="Georgia"/>
          <w:b/>
          <w:color w:val="7A5810"/>
          <w:sz w:val="26"/>
        </w:rPr>
        <w:t>10.4  Rule of Law Repair Ratio Too Low (Moderate)</w:t>
      </w:r>
    </w:p>
    <w:p>
      <w:pPr>
        <w:spacing w:before="0" w:after="48"/>
      </w:pPr>
      <w:r>
        <w:rPr>
          <w:rFonts w:ascii="Georgia" w:hAnsi="Georgia"/>
          <w:color w:val="3A2000"/>
          <w:sz w:val="22"/>
        </w:rPr>
        <w:t xml:space="preserve">Rule of Law empirical runs show a repair ratio of 0.029 (9 fulfilled vs. 312 denied over 244 generations). Rule of Law should be the highest-repair architecture. The cause: at default repairRate = 0.06, the node closure probability product across all 8 nodes is insufficient to produce fulfilment within </w:t>
      </w:r>
      <w:r>
        <w:rPr>
          <w:rFonts w:ascii="Courier New" w:hAnsi="Courier New"/>
          <w:b w:val="0"/>
          <w:i w:val="0"/>
          <w:color w:val="4A3808"/>
          <w:sz w:val="20"/>
        </w:rPr>
        <w:t>obligationLife</w:t>
      </w:r>
      <w:r>
        <w:rPr>
          <w:rFonts w:ascii="Georgia" w:hAnsi="Georgia"/>
          <w:color w:val="3A2000"/>
          <w:sz w:val="22"/>
        </w:rPr>
        <w:t xml:space="preserve"> steps. Obligations expire rather than being denied, so the repBonus cannot operate.</w:t>
      </w:r>
    </w:p>
    <w:p>
      <w:pPr>
        <w:spacing w:before="0" w:after="48"/>
      </w:pPr>
      <w:r>
        <w:rPr>
          <w:rFonts w:ascii="Georgia" w:hAnsi="Georgia"/>
          <w:b/>
          <w:i w:val="0"/>
          <w:color w:val="3A2000"/>
          <w:sz w:val="22"/>
        </w:rPr>
        <w:t>Proposed fix:</w:t>
      </w:r>
      <w:r>
        <w:rPr>
          <w:rFonts w:ascii="Georgia" w:hAnsi="Georgia"/>
          <w:color w:val="3A2000"/>
          <w:sz w:val="22"/>
        </w:rPr>
        <w:t xml:space="preserve"> Decouple obligation closure probability from repairRate for the fulfilment path. Add an architecture-specific base closure rate ensuring Rule of Law obligations close reliably within their lifetime.</w:t>
      </w:r>
    </w:p>
    <w:p>
      <w:pPr>
        <w:spacing w:before="360" w:after="120"/>
      </w:pPr>
      <w:r>
        <w:rPr>
          <w:rFonts w:ascii="Georgia" w:hAnsi="Georgia"/>
          <w:b/>
          <w:color w:val="7A5810"/>
          <w:sz w:val="26"/>
        </w:rPr>
        <w:t>10.5  IRI Diagnostic Failure in Authoritarian (Known Limitation)</w:t>
      </w:r>
    </w:p>
    <w:p>
      <w:pPr>
        <w:spacing w:before="0" w:after="48"/>
      </w:pPr>
      <w:r>
        <w:rPr>
          <w:rFonts w:ascii="Georgia" w:hAnsi="Georgia"/>
          <w:color w:val="3A2000"/>
          <w:sz w:val="22"/>
        </w:rPr>
        <w:t>In Authoritarian architecture, r(debt, IRI) = -0.15, compared to -0.95 to -0.98 in other architectures. With iriRE saturated, iriCR floored, and iriDL noisy, IRI reduces to iriCDScore with noise. IRI is not a meaningful structural comparator across architectures in v1.0.</w:t>
      </w:r>
    </w:p>
    <w:p>
      <w:pPr>
        <w:spacing w:before="480" w:after="160"/>
        <w:pBdr>
          <w:bottom w:val="single" w:sz="8" w:space="1" w:color="C49020"/>
        </w:pBdr>
      </w:pPr>
      <w:r>
        <w:rPr>
          <w:rFonts w:ascii="Georgia" w:hAnsi="Georgia"/>
          <w:b/>
          <w:color w:val="3A2000"/>
          <w:sz w:val="34"/>
        </w:rPr>
        <w:t>11.  Configurable Parameters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Parameter</w:t>
            </w:r>
          </w:p>
        </w:tc>
        <w:tc>
          <w:tcPr>
            <w:tcW w:type="dxa" w:w="100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Default</w:t>
            </w:r>
          </w:p>
        </w:tc>
        <w:tc>
          <w:tcPr>
            <w:tcW w:type="dxa" w:w="1440"/>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Range</w:t>
            </w:r>
          </w:p>
        </w:tc>
        <w:tc>
          <w:tcPr>
            <w:tcW w:type="dxa" w:w="4968"/>
            <w:shd w:val="clear" w:color="auto" w:fill="3A2000"/>
            <w:tcBorders>
              <w:top w:val="single" w:sz="6" w:space="0" w:color="7A5810"/>
              <w:left w:val="single" w:sz="6" w:space="0" w:color="7A5810"/>
              <w:bottom w:val="single" w:sz="6" w:space="0" w:color="7A5810"/>
              <w:right w:val="single" w:sz="6" w:space="0" w:color="7A5810"/>
            </w:tcBorders>
          </w:tcPr>
          <w:p>
            <w:pPr>
              <w:spacing w:before="40" w:after="40"/>
            </w:pPr>
            <w:r>
              <w:rPr>
                <w:rFonts w:ascii="Georgia" w:hAnsi="Georgia"/>
                <w:b/>
                <w:color w:val="F0E4C8"/>
                <w:sz w:val="19"/>
              </w:rPr>
              <w:t>Effect</w:t>
            </w:r>
          </w:p>
        </w:tc>
      </w:tr>
      <w:tr>
        <w:tc>
          <w:tcPr>
            <w:tcW w:type="dxa" w:w="201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numAgents</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60</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10-300</w:t>
            </w:r>
          </w:p>
        </w:tc>
        <w:tc>
          <w:tcPr>
            <w:tcW w:type="dxa" w:w="49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Population size</w:t>
            </w:r>
          </w:p>
        </w:tc>
      </w:tr>
      <w:tr>
        <w:tc>
          <w:tcPr>
            <w:tcW w:type="dxa" w:w="201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obligRadius</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40</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10-120</w:t>
            </w:r>
          </w:p>
        </w:tc>
        <w:tc>
          <w:tcPr>
            <w:tcW w:type="dxa" w:w="49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Maximum agent distance for obligation formation</w:t>
            </w:r>
          </w:p>
        </w:tc>
      </w:tr>
      <w:tr>
        <w:tc>
          <w:tcPr>
            <w:tcW w:type="dxa" w:w="201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repairRate</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0.06</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0.01-0.22</w:t>
            </w:r>
          </w:p>
        </w:tc>
        <w:tc>
          <w:tcPr>
            <w:tcW w:type="dxa" w:w="49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Scales node closure probability -- primary fulfilment rate determinant</w:t>
            </w:r>
          </w:p>
        </w:tc>
      </w:tr>
      <w:tr>
        <w:tc>
          <w:tcPr>
            <w:tcW w:type="dxa" w:w="201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chainDecay</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0.005</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0.001-0.025</w:t>
            </w:r>
          </w:p>
        </w:tc>
        <w:tc>
          <w:tcPr>
            <w:tcW w:type="dxa" w:w="49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Per-step coherence decay before architecture multiplier</w:t>
            </w:r>
          </w:p>
        </w:tc>
      </w:tr>
      <w:tr>
        <w:tc>
          <w:tcPr>
            <w:tcW w:type="dxa" w:w="201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iatThreshold</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0.50</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0.10-0.90</w:t>
            </w:r>
          </w:p>
        </w:tc>
        <w:tc>
          <w:tcPr>
            <w:tcW w:type="dxa" w:w="49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Minimum IAT score for normative agent classification</w:t>
            </w:r>
          </w:p>
        </w:tc>
      </w:tr>
      <w:tr>
        <w:tc>
          <w:tcPr>
            <w:tcW w:type="dxa" w:w="201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detectionSpeed</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0.30</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0.05-0.80</w:t>
            </w:r>
          </w:p>
        </w:tc>
        <w:tc>
          <w:tcPr>
            <w:tcW w:type="dxa" w:w="49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Probability that a denial event is detected -- affects iriDL only</w:t>
            </w:r>
          </w:p>
        </w:tc>
      </w:tr>
      <w:tr>
        <w:tc>
          <w:tcPr>
            <w:tcW w:type="dxa" w:w="201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obligationLife</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180</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50-400</w:t>
            </w:r>
          </w:p>
        </w:tc>
        <w:tc>
          <w:tcPr>
            <w:tcW w:type="dxa" w:w="49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Maximum steps before an active obligation expires</w:t>
            </w:r>
          </w:p>
        </w:tc>
      </w:tr>
      <w:tr>
        <w:tc>
          <w:tcPr>
            <w:tcW w:type="dxa" w:w="201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maxObligs</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200</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50-500</w:t>
            </w:r>
          </w:p>
        </w:tc>
        <w:tc>
          <w:tcPr>
            <w:tcW w:type="dxa" w:w="49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Maximum concurrent active obligations</w:t>
            </w:r>
          </w:p>
        </w:tc>
      </w:tr>
      <w:tr>
        <w:tc>
          <w:tcPr>
            <w:tcW w:type="dxa" w:w="2016"/>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externalPressure</w:t>
            </w:r>
          </w:p>
        </w:tc>
        <w:tc>
          <w:tcPr>
            <w:tcW w:type="dxa" w:w="100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0.00</w:t>
            </w:r>
          </w:p>
        </w:tc>
        <w:tc>
          <w:tcPr>
            <w:tcW w:type="dxa" w:w="1440"/>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w:t>
            </w:r>
          </w:p>
        </w:tc>
        <w:tc>
          <w:tcPr>
            <w:tcW w:type="dxa" w:w="4968"/>
            <w:shd w:val="clear" w:color="auto" w:fill="FDFAF3"/>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Structural stress multiplier -- amplifies fRate and coherence decay</w:t>
            </w:r>
          </w:p>
        </w:tc>
      </w:tr>
      <w:tr>
        <w:tc>
          <w:tcPr>
            <w:tcW w:type="dxa" w:w="2016"/>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initialIATMean</w:t>
            </w:r>
          </w:p>
        </w:tc>
        <w:tc>
          <w:tcPr>
            <w:tcW w:type="dxa" w:w="100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0.55</w:t>
            </w:r>
          </w:p>
        </w:tc>
        <w:tc>
          <w:tcPr>
            <w:tcW w:type="dxa" w:w="1440"/>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Courier New" w:hAnsi="Courier New"/>
                <w:color w:val="4A3808"/>
                <w:sz w:val="18"/>
              </w:rPr>
              <w:t>0.10-0.90</w:t>
            </w:r>
          </w:p>
        </w:tc>
        <w:tc>
          <w:tcPr>
            <w:tcW w:type="dxa" w:w="4968"/>
            <w:shd w:val="clear" w:color="auto" w:fill="F5EDD8"/>
            <w:tcBorders>
              <w:top w:val="single" w:sz="4" w:space="0" w:color="CCCCCC"/>
              <w:left w:val="single" w:sz="4" w:space="0" w:color="CCCCCC"/>
              <w:bottom w:val="single" w:sz="4" w:space="0" w:color="CCCCCC"/>
              <w:right w:val="single" w:sz="4" w:space="0" w:color="CCCCCC"/>
            </w:tcBorders>
          </w:tcPr>
          <w:p>
            <w:pPr>
              <w:spacing w:before="30" w:after="30"/>
            </w:pPr>
            <w:r>
              <w:rPr>
                <w:rFonts w:ascii="Georgia" w:hAnsi="Georgia"/>
                <w:color w:val="3A2000"/>
                <w:sz w:val="19"/>
              </w:rPr>
              <w:t>Seeds population IAT attribute distributions</w:t>
            </w:r>
          </w:p>
        </w:tc>
      </w:tr>
    </w:tbl>
    <w:p>
      <w:pPr>
        <w:spacing w:before="0" w:after="80"/>
      </w:pPr>
    </w:p>
    <w:p>
      <w:pPr>
        <w:spacing w:before="480" w:after="160"/>
        <w:pBdr>
          <w:bottom w:val="single" w:sz="8" w:space="1" w:color="C49020"/>
        </w:pBdr>
      </w:pPr>
      <w:r>
        <w:rPr>
          <w:rFonts w:ascii="Georgia" w:hAnsi="Georgia"/>
          <w:b/>
          <w:color w:val="3A2000"/>
          <w:sz w:val="34"/>
        </w:rPr>
        <w:t>12.  Visualisation</w:t>
      </w:r>
    </w:p>
    <w:p>
      <w:pPr>
        <w:spacing w:before="360" w:after="120"/>
      </w:pPr>
      <w:r>
        <w:rPr>
          <w:rFonts w:ascii="Georgia" w:hAnsi="Georgia"/>
          <w:b/>
          <w:color w:val="7A5810"/>
          <w:sz w:val="26"/>
        </w:rPr>
        <w:t>12.1  Three-Dimensional Agent World</w:t>
      </w:r>
    </w:p>
    <w:p>
      <w:pPr>
        <w:spacing w:before="0" w:after="48"/>
      </w:pPr>
      <w:r>
        <w:rPr>
          <w:rFonts w:ascii="Georgia" w:hAnsi="Georgia"/>
          <w:color w:val="3A2000"/>
          <w:sz w:val="22"/>
        </w:rPr>
        <w:t>The primary visualisation renders the agent population as a Three.js instanced mesh within a 150-unit cubic world. Key visual encodings:</w:t>
      </w:r>
    </w:p>
    <w:p>
      <w:pPr>
        <w:pStyle w:val="ListBullet"/>
        <w:spacing w:before="0" w:after="80"/>
      </w:pPr>
      <w:r>
        <w:rPr>
          <w:rFonts w:ascii="Georgia" w:hAnsi="Georgia"/>
          <w:b/>
          <w:i w:val="0"/>
          <w:color w:val="3A2000"/>
          <w:sz w:val="22"/>
        </w:rPr>
        <w:t>Agent colour:</w:t>
      </w:r>
      <w:r>
        <w:rPr>
          <w:rFonts w:ascii="Georgia" w:hAnsi="Georgia"/>
          <w:color w:val="3A2000"/>
          <w:sz w:val="22"/>
        </w:rPr>
        <w:t xml:space="preserve"> Transitions from brass (legalCoherence &gt; 0.70) through amber (0.45-0.70) to crimson (&lt; 0.45).</w:t>
      </w:r>
    </w:p>
    <w:p>
      <w:pPr>
        <w:pStyle w:val="ListBullet"/>
        <w:spacing w:before="0" w:after="80"/>
      </w:pPr>
      <w:r>
        <w:rPr>
          <w:rFonts w:ascii="Georgia" w:hAnsi="Georgia"/>
          <w:b/>
          <w:i w:val="0"/>
          <w:color w:val="3A2000"/>
          <w:sz w:val="22"/>
        </w:rPr>
        <w:t>Agent scale:</w:t>
      </w:r>
      <w:r>
        <w:rPr>
          <w:rFonts w:ascii="Georgia" w:hAnsi="Georgia"/>
          <w:color w:val="3A2000"/>
          <w:sz w:val="22"/>
        </w:rPr>
        <w:t xml:space="preserve"> Normative agents (IAT score &gt;= threshold) render at 2x radius.</w:t>
      </w:r>
    </w:p>
    <w:p>
      <w:pPr>
        <w:pStyle w:val="ListBullet"/>
        <w:spacing w:before="0" w:after="80"/>
      </w:pPr>
      <w:r>
        <w:rPr>
          <w:rFonts w:ascii="Georgia" w:hAnsi="Georgia"/>
          <w:b/>
          <w:i w:val="0"/>
          <w:color w:val="3A2000"/>
          <w:sz w:val="22"/>
        </w:rPr>
        <w:t>Obligation lines:</w:t>
      </w:r>
      <w:r>
        <w:rPr>
          <w:rFonts w:ascii="Georgia" w:hAnsi="Georgia"/>
          <w:color w:val="3A2000"/>
          <w:sz w:val="22"/>
        </w:rPr>
        <w:t xml:space="preserve"> Active obligation pairs rendered as line segments. Colour: brass (active), crimson (denied).</w:t>
      </w:r>
    </w:p>
    <w:p>
      <w:pPr>
        <w:pStyle w:val="ListBullet"/>
        <w:spacing w:before="0" w:after="80"/>
      </w:pPr>
      <w:r>
        <w:rPr>
          <w:rFonts w:ascii="Georgia" w:hAnsi="Georgia"/>
          <w:b/>
          <w:i w:val="0"/>
          <w:color w:val="3A2000"/>
          <w:sz w:val="22"/>
        </w:rPr>
        <w:t>Camera:</w:t>
      </w:r>
      <w:r>
        <w:rPr>
          <w:rFonts w:ascii="Georgia" w:hAnsi="Georgia"/>
          <w:color w:val="3A2000"/>
          <w:sz w:val="22"/>
        </w:rPr>
        <w:t xml:space="preserve"> Slow orbital motion at fixed elevation, providing continuous three-quarter view.</w:t>
      </w:r>
    </w:p>
    <w:p>
      <w:pPr>
        <w:spacing w:before="360" w:after="120"/>
      </w:pPr>
      <w:r>
        <w:rPr>
          <w:rFonts w:ascii="Georgia" w:hAnsi="Georgia"/>
          <w:b/>
          <w:color w:val="7A5810"/>
          <w:sz w:val="26"/>
        </w:rPr>
        <w:t>12.2  MLC Chain Diagram</w:t>
      </w:r>
    </w:p>
    <w:p>
      <w:pPr>
        <w:spacing w:before="0" w:after="48"/>
      </w:pPr>
      <w:r>
        <w:rPr>
          <w:rFonts w:ascii="Georgia" w:hAnsi="Georgia"/>
          <w:color w:val="3A2000"/>
          <w:sz w:val="22"/>
        </w:rPr>
        <w:t>The MLC Chain Diagram (bottom panel) renders all 8 MLC nodes as circles connected by directional links, with live node health percentages. Colour coding: gold for healthy nodes (&gt; 70%), amber for degraded (40-70%), crimson for failing (&lt; 40%). Cluster brackets (AUTHORITY, EFFECT, RECOGNITION, REPAIR) are displayed below the chain.</w:t>
      </w:r>
    </w:p>
    <w:p>
      <w:pPr>
        <w:spacing w:before="360" w:after="120"/>
      </w:pPr>
      <w:r>
        <w:rPr>
          <w:rFonts w:ascii="Georgia" w:hAnsi="Georgia"/>
          <w:b/>
          <w:color w:val="7A5810"/>
          <w:sz w:val="26"/>
        </w:rPr>
        <w:t>12.3  Design Aesthetic</w:t>
      </w:r>
    </w:p>
    <w:p>
      <w:pPr>
        <w:spacing w:before="0" w:after="48"/>
      </w:pPr>
      <w:r>
        <w:rPr>
          <w:rFonts w:ascii="Georgia" w:hAnsi="Georgia"/>
          <w:color w:val="3A2000"/>
          <w:sz w:val="22"/>
        </w:rPr>
        <w:t>SimLex uses a judicial/editorial aesthetic: dark background (#060402), brass accents (#c49020), parchment text (#f0e4c8), with Cormorant Garamond (display), Crimson Pro (body), and JetBrains Mono (data/labels). A CSS fractal noise grain overlay adds visual depth. The aesthetic reinforces the theoretical register of the framework -- law as architecture.</w:t>
      </w:r>
    </w:p>
    <w:p>
      <w:pPr>
        <w:spacing w:before="480" w:after="160"/>
        <w:pBdr>
          <w:bottom w:val="single" w:sz="8" w:space="1" w:color="C49020"/>
        </w:pBdr>
      </w:pPr>
      <w:r>
        <w:rPr>
          <w:rFonts w:ascii="Georgia" w:hAnsi="Georgia"/>
          <w:b/>
          <w:color w:val="3A2000"/>
          <w:sz w:val="34"/>
        </w:rPr>
        <w:t>13.  Development Roadmap</w:t>
      </w:r>
    </w:p>
    <w:p>
      <w:pPr>
        <w:spacing w:before="360" w:after="120"/>
      </w:pPr>
      <w:r>
        <w:rPr>
          <w:rFonts w:ascii="Georgia" w:hAnsi="Georgia"/>
          <w:b/>
          <w:color w:val="7A5810"/>
          <w:sz w:val="26"/>
        </w:rPr>
        <w:t>v1.1 -- Calibration fixes (priority)</w:t>
      </w:r>
    </w:p>
    <w:p>
      <w:pPr>
        <w:pStyle w:val="ListBullet"/>
        <w:spacing w:before="0" w:after="80"/>
      </w:pPr>
      <w:r>
        <w:rPr>
          <w:rFonts w:ascii="Georgia" w:hAnsi="Georgia"/>
          <w:color w:val="3A2000"/>
          <w:sz w:val="22"/>
        </w:rPr>
        <w:t>Replace cumulative iriRE with rolling 50-generation fulfilled/(fulfilled+denied+expired) ratio.</w:t>
      </w:r>
    </w:p>
    <w:p>
      <w:pPr>
        <w:pStyle w:val="ListBullet"/>
        <w:spacing w:before="0" w:after="80"/>
      </w:pPr>
      <w:r>
        <w:rPr>
          <w:rFonts w:ascii="Georgia" w:hAnsi="Georgia"/>
          <w:color w:val="3A2000"/>
          <w:sz w:val="22"/>
        </w:rPr>
        <w:t>Replace hard coherence floor reset with soft mean-reversion pull toward architecture characteristic coherence.</w:t>
      </w:r>
    </w:p>
    <w:p>
      <w:pPr>
        <w:pStyle w:val="ListBullet"/>
        <w:spacing w:before="0" w:after="80"/>
      </w:pPr>
      <w:r>
        <w:rPr>
          <w:rFonts w:ascii="Georgia" w:hAnsi="Georgia"/>
          <w:color w:val="3A2000"/>
          <w:sz w:val="22"/>
        </w:rPr>
        <w:t>Decouple fulfilment closure rate from repairRate to restore Rule of Law repair ratio.</w:t>
      </w:r>
    </w:p>
    <w:p>
      <w:pPr>
        <w:pStyle w:val="ListBullet"/>
        <w:spacing w:before="0" w:after="80"/>
      </w:pPr>
      <w:r>
        <w:rPr>
          <w:rFonts w:ascii="Georgia" w:hAnsi="Georgia"/>
          <w:color w:val="3A2000"/>
          <w:sz w:val="22"/>
        </w:rPr>
        <w:t>Add repair ratio as a live UI metric and Science Hub output variable.</w:t>
      </w:r>
    </w:p>
    <w:p>
      <w:pPr>
        <w:pStyle w:val="ListBullet"/>
        <w:spacing w:before="0" w:after="80"/>
      </w:pPr>
      <w:r>
        <w:rPr>
          <w:rFonts w:ascii="Georgia" w:hAnsi="Georgia"/>
          <w:color w:val="3A2000"/>
          <w:sz w:val="22"/>
        </w:rPr>
        <w:t>Add session-isolating reset: clear fullHistory before architecture switch; add architecture-switch warning.</w:t>
      </w:r>
    </w:p>
    <w:p>
      <w:pPr>
        <w:spacing w:before="360" w:after="120"/>
      </w:pPr>
      <w:r>
        <w:rPr>
          <w:rFonts w:ascii="Georgia" w:hAnsi="Georgia"/>
          <w:b/>
          <w:color w:val="7A5810"/>
          <w:sz w:val="26"/>
        </w:rPr>
        <w:t>v1.2 -- Metric extension</w:t>
      </w:r>
    </w:p>
    <w:p>
      <w:pPr>
        <w:pStyle w:val="ListBullet"/>
        <w:spacing w:before="0" w:after="80"/>
      </w:pPr>
      <w:r>
        <w:rPr>
          <w:rFonts w:ascii="Georgia" w:hAnsi="Georgia"/>
          <w:color w:val="3A2000"/>
          <w:sz w:val="22"/>
        </w:rPr>
        <w:t>Trust slope and trust endpoint as primary comparative metrics in Science Hub.</w:t>
      </w:r>
    </w:p>
    <w:p>
      <w:pPr>
        <w:pStyle w:val="ListBullet"/>
        <w:spacing w:before="0" w:after="80"/>
      </w:pPr>
      <w:r>
        <w:rPr>
          <w:rFonts w:ascii="Georgia" w:hAnsi="Georgia"/>
          <w:color w:val="3A2000"/>
          <w:sz w:val="22"/>
        </w:rPr>
        <w:t>Per-node contradiction type breakdown (which node fails most often in each architecture).</w:t>
      </w:r>
    </w:p>
    <w:p>
      <w:pPr>
        <w:pStyle w:val="ListBullet"/>
        <w:spacing w:before="0" w:after="80"/>
      </w:pPr>
      <w:r>
        <w:rPr>
          <w:rFonts w:ascii="Georgia" w:hAnsi="Georgia"/>
          <w:color w:val="3A2000"/>
          <w:sz w:val="22"/>
        </w:rPr>
        <w:t>Lag test reformulation: debt --&gt; trust decline rate as the H4-type dependent variable.</w:t>
      </w:r>
    </w:p>
    <w:p>
      <w:pPr>
        <w:spacing w:before="360" w:after="120"/>
      </w:pPr>
      <w:r>
        <w:rPr>
          <w:rFonts w:ascii="Georgia" w:hAnsi="Georgia"/>
          <w:b/>
          <w:color w:val="7A5810"/>
          <w:sz w:val="26"/>
        </w:rPr>
        <w:t>v1.3 -- IAT and agency extension</w:t>
      </w:r>
    </w:p>
    <w:p>
      <w:pPr>
        <w:pStyle w:val="ListBullet"/>
        <w:spacing w:before="0" w:after="80"/>
      </w:pPr>
      <w:r>
        <w:rPr>
          <w:rFonts w:ascii="Georgia" w:hAnsi="Georgia"/>
          <w:color w:val="3A2000"/>
          <w:sz w:val="22"/>
        </w:rPr>
        <w:t>Full five-condition IAT tracking including attributable breach as a separate per-obligation attribute.</w:t>
      </w:r>
    </w:p>
    <w:p>
      <w:pPr>
        <w:pStyle w:val="ListBullet"/>
        <w:spacing w:before="0" w:after="80"/>
      </w:pPr>
      <w:r>
        <w:rPr>
          <w:rFonts w:ascii="Georgia" w:hAnsi="Georgia"/>
          <w:color w:val="3A2000"/>
          <w:sz w:val="22"/>
        </w:rPr>
        <w:t>Agent reproduction and inheritance -- normative agency heritable across agent generations.</w:t>
      </w:r>
    </w:p>
    <w:p>
      <w:pPr>
        <w:pStyle w:val="ListBullet"/>
        <w:spacing w:before="0" w:after="80"/>
      </w:pPr>
      <w:r>
        <w:rPr>
          <w:rFonts w:ascii="Georgia" w:hAnsi="Georgia"/>
          <w:color w:val="3A2000"/>
          <w:sz w:val="22"/>
        </w:rPr>
        <w:t>IAT assessment section in the MLC Chain Auditor companion tool.</w:t>
      </w:r>
    </w:p>
    <w:p>
      <w:pPr>
        <w:spacing w:before="360" w:after="120"/>
      </w:pPr>
      <w:r>
        <w:rPr>
          <w:rFonts w:ascii="Georgia" w:hAnsi="Georgia"/>
          <w:b/>
          <w:color w:val="7A5810"/>
          <w:sz w:val="26"/>
        </w:rPr>
        <w:t>v2.0 -- Research instrument</w:t>
      </w:r>
    </w:p>
    <w:p>
      <w:pPr>
        <w:pStyle w:val="ListBullet"/>
        <w:spacing w:before="0" w:after="80"/>
      </w:pPr>
      <w:r>
        <w:rPr>
          <w:rFonts w:ascii="Georgia" w:hAnsi="Georgia"/>
          <w:color w:val="3A2000"/>
          <w:sz w:val="22"/>
        </w:rPr>
        <w:t>Parametric batch runner: define full experimental designs as JSON, run unattended, export complete results.</w:t>
      </w:r>
    </w:p>
    <w:p>
      <w:pPr>
        <w:pStyle w:val="ListBullet"/>
        <w:spacing w:before="0" w:after="80"/>
      </w:pPr>
      <w:r>
        <w:rPr>
          <w:rFonts w:ascii="Georgia" w:hAnsi="Georgia"/>
          <w:color w:val="3A2000"/>
          <w:sz w:val="22"/>
        </w:rPr>
        <w:t>Offense CSV injection: load the 149-row SOoL offense mapping CSV as injectable scenario events.</w:t>
      </w:r>
    </w:p>
    <w:p>
      <w:pPr>
        <w:pStyle w:val="ListBullet"/>
        <w:spacing w:before="0" w:after="80"/>
      </w:pPr>
      <w:r>
        <w:rPr>
          <w:rFonts w:ascii="Georgia" w:hAnsi="Georgia"/>
          <w:color w:val="3A2000"/>
          <w:sz w:val="22"/>
        </w:rPr>
        <w:t>OWL/RDF output: export simulation state as SOoL-compliant OWL instances for SEAL Lab legal kernel integration.</w:t>
      </w:r>
    </w:p>
    <w:p>
      <w:pPr>
        <w:pStyle w:val="ListBullet"/>
        <w:spacing w:before="0" w:after="80"/>
      </w:pPr>
      <w:r>
        <w:rPr>
          <w:rFonts w:ascii="Georgia" w:hAnsi="Georgia"/>
          <w:color w:val="3A2000"/>
          <w:sz w:val="22"/>
        </w:rPr>
        <w:t>Comparative trajectory chart: multi-architecture overlay with confidence bands from replicated runs.</w:t>
      </w:r>
    </w:p>
    <w:p>
      <w:pPr>
        <w:spacing w:before="0" w:after="80"/>
      </w:pPr>
    </w:p>
    <w:p>
      <w:pPr>
        <w:spacing w:before="120" w:after="120"/>
        <w:pBdr>
          <w:bottom w:val="single" w:sz="10" w:space="1" w:color="C49020"/>
        </w:pBdr>
      </w:pPr>
    </w:p>
    <w:p>
      <w:pPr>
        <w:jc w:val="center"/>
        <w:spacing w:before="120" w:after="0"/>
      </w:pPr>
      <w:r>
        <w:rPr>
          <w:rFonts w:ascii="Georgia" w:hAnsi="Georgia"/>
          <w:i/>
          <w:color w:val="A89070"/>
          <w:sz w:val="18"/>
        </w:rPr>
        <w:t>SimLex v1  |  A Structural Ontology of the Law  |  Koepsell (SEAL Lab, Texas A&amp;M)  |  Palgrave, forthcoming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