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поставки нефтепродуктов № [номер]</w:t>
      </w:r>
    </w:p>
    <w:p>
      <w:r>
        <w:t>ТИПОВАЯ ФОРМА ТОО «Дала Ойл». Утверждена для закупок нефтепродуктов. Отступления от типовой формы согласуются с юридическим отделом.</w:t>
      </w:r>
    </w:p>
    <w:p>
      <w:r>
        <w:t>г. Астана, [дата]</w:t>
      </w:r>
    </w:p>
    <w:p>
      <w:r>
        <w:t>[Наименование поставщика], именуемое в дальнейшем «Поставщик», в лице [должность], действующего на основании [документ], и ТОО «Дала Ойл», именуемое в дальнейшем «Покупатель», в лице директора по закупкам, действующего на основании доверенности, заключили настоящий договор о нижеследующем.</w:t>
      </w:r>
    </w:p>
    <w:p>
      <w:pPr>
        <w:pStyle w:val="Heading2"/>
      </w:pPr>
      <w:r>
        <w:t>1. Предмет договора</w:t>
      </w:r>
    </w:p>
    <w:p>
      <w:r>
        <w:t>1.1. Поставщик обязуется поставить, а Покупатель принять и оплатить нефтепродукты (далее Товар) в количестве и по ценам Спецификации (Приложение 1) и с характеристиками Технической спецификации (Приложение 2).</w:t>
      </w:r>
    </w:p>
    <w:p>
      <w:r>
        <w:t>1.2. Спецификация и Техническая спецификация являются неотъемлемой частью договора.</w:t>
      </w:r>
    </w:p>
    <w:p>
      <w:pPr>
        <w:pStyle w:val="Heading2"/>
      </w:pPr>
      <w:r>
        <w:t>2. Качество Товара</w:t>
      </w:r>
    </w:p>
    <w:p>
      <w:r>
        <w:t>2.1. Качество Товара должно соответствовать техническому регламенту и паспорту качества завода-изготовителя.</w:t>
      </w:r>
    </w:p>
    <w:p>
      <w:r>
        <w:t>2.2. Каждая партия сопровождается паспортом качества.</w:t>
      </w:r>
    </w:p>
    <w:p>
      <w:pPr>
        <w:pStyle w:val="Heading2"/>
      </w:pPr>
      <w:r>
        <w:t>3. Порядок поставки</w:t>
      </w:r>
    </w:p>
    <w:p>
      <w:r>
        <w:t>3.1. Поставка производится партиями на нефтебазу Покупателя по заявкам Покупателя.</w:t>
      </w:r>
    </w:p>
    <w:p>
      <w:r>
        <w:t>3.2. Срок поставки партии: не позднее 5 (пяти) календарных дней с даты заявки.</w:t>
      </w:r>
    </w:p>
    <w:p>
      <w:r>
        <w:t>3.3. Право собственности и риск случайной гибели Товара переходят к Покупателю с момента подписания товарно-транспортной накладной.</w:t>
      </w:r>
    </w:p>
    <w:p>
      <w:pPr>
        <w:pStyle w:val="Heading2"/>
      </w:pPr>
      <w:r>
        <w:t>4. Цена и порядок расчётов</w:t>
      </w:r>
    </w:p>
    <w:p>
      <w:r>
        <w:t>4.1. Общая сумма договора составляет [сумма] тенге с учётом НДС и определяется Спецификацией.</w:t>
      </w:r>
    </w:p>
    <w:p>
      <w:r>
        <w:t>4.2. Покупатель оплачивает каждую партию в течение 30 (тридцати) календарных дней с даты поставки, без предоплаты.</w:t>
      </w:r>
    </w:p>
    <w:p>
      <w:r>
        <w:t>4.3. Цена Товара фиксируется в Спецификации и не меняется в течение срока действия договора без дополнительного соглашения сторон.</w:t>
      </w:r>
    </w:p>
    <w:p>
      <w:pPr>
        <w:pStyle w:val="Heading2"/>
      </w:pPr>
      <w:r>
        <w:t>5. Приёмка Товара</w:t>
      </w:r>
    </w:p>
    <w:p>
      <w:r>
        <w:t>5.1. Приёмка по количеству и качеству производится на нефтебазе Покупателя.</w:t>
      </w:r>
    </w:p>
    <w:p>
      <w:r>
        <w:t>5.2. О недостаче или несоответствии качества Покупатель уведомляет Поставщика в течение 3 (трёх) рабочих дней.</w:t>
      </w:r>
    </w:p>
    <w:p>
      <w:pPr>
        <w:pStyle w:val="Heading2"/>
      </w:pPr>
      <w:r>
        <w:t>6. Ответственность сторон</w:t>
      </w:r>
    </w:p>
    <w:p>
      <w:r>
        <w:t>6.1. За просрочку поставки Поставщик уплачивает неустойку 0,1 % от стоимости непоставленного Товара за каждый день просрочки, но не более 10 % от стоимости партии.</w:t>
      </w:r>
    </w:p>
    <w:p>
      <w:r>
        <w:t>6.2. За просрочку оплаты Покупатель уплачивает неустойку 0,1 % от неоплаченной суммы за каждый день просрочки, но не более 10 % от стоимости партии.</w:t>
      </w:r>
    </w:p>
    <w:p>
      <w:pPr>
        <w:pStyle w:val="Heading2"/>
      </w:pPr>
      <w:r>
        <w:t>7. Срок действия договора</w:t>
      </w:r>
    </w:p>
    <w:p>
      <w:r>
        <w:t>7.1. Договор действует с даты подписания до 31 декабря 2026 года, а в части расчётов до полного исполнения обязательств.</w:t>
      </w:r>
    </w:p>
    <w:p>
      <w:pPr>
        <w:pStyle w:val="Heading2"/>
      </w:pPr>
      <w:r>
        <w:t>8. Порядок разрешения споров</w:t>
      </w:r>
    </w:p>
    <w:p>
      <w:r>
        <w:t>8.1. Споры решаются переговорами, а если согласие не достигнуто, в суде по месту нахождения Покупателя (г. Астана).</w:t>
      </w:r>
    </w:p>
    <w:p>
      <w:pPr>
        <w:pStyle w:val="Heading2"/>
      </w:pPr>
      <w:r>
        <w:t>9. Конфиденциальность</w:t>
      </w:r>
    </w:p>
    <w:p>
      <w:r>
        <w:t>9.1. Стороны не раскрывают третьим лицам условия договора и сведения, полученные при его исполнении, без письменного согласия другой стороны.</w:t>
      </w:r>
    </w:p>
    <w:p>
      <w:pPr>
        <w:pStyle w:val="Heading2"/>
      </w:pPr>
      <w:r>
        <w:t>10. Обстоятельства непреодолимой силы</w:t>
      </w:r>
    </w:p>
    <w:p>
      <w:r>
        <w:t>10.1. Стороны освобождаются от ответственности за неисполнение обязательств, вызванное обстоятельствами непреодолимой силы, если уведомили другую сторону в течение 3 (трёх) рабочих дней.</w:t>
      </w:r>
    </w:p>
    <w:p>
      <w:pPr>
        <w:pStyle w:val="Heading2"/>
      </w:pPr>
      <w:r>
        <w:t>11. Реквизиты и подписи сторон</w:t>
      </w:r>
    </w:p>
    <w:p>
      <w:r>
        <w:t>Поставщик: [наименование, БИН, адрес, банковские реквизиты].</w:t>
      </w:r>
    </w:p>
    <w:p>
      <w:r>
        <w:t>Покупатель: ТОО «Дала Ойл», [БИН, адрес, банковские реквизиты].</w:t>
      </w:r>
    </w:p>
    <w:p>
      <w:pPr>
        <w:pStyle w:val="Heading2"/>
      </w:pPr>
      <w:r>
        <w:t>Приложение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Товар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Цена за ед., тенге с НДС</w:t>
            </w:r>
          </w:p>
        </w:tc>
        <w:tc>
          <w:tcPr>
            <w:tcW w:type="dxa" w:w="1440"/>
          </w:tcPr>
          <w:p>
            <w:r>
              <w:t>Сумма, тенге с НДС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Бензин АИ-92</w:t>
            </w:r>
          </w:p>
        </w:tc>
        <w:tc>
          <w:tcPr>
            <w:tcW w:type="dxa" w:w="1440"/>
          </w:tcPr>
          <w:p>
            <w:r>
              <w:t>л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[цена]</w:t>
            </w:r>
          </w:p>
        </w:tc>
        <w:tc>
          <w:tcPr>
            <w:tcW w:type="dxa" w:w="1440"/>
          </w:tcPr>
          <w:p>
            <w:r>
              <w:t>[сумма]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Бензин АИ-95</w:t>
            </w:r>
          </w:p>
        </w:tc>
        <w:tc>
          <w:tcPr>
            <w:tcW w:type="dxa" w:w="1440"/>
          </w:tcPr>
          <w:p>
            <w:r>
              <w:t>л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[цена]</w:t>
            </w:r>
          </w:p>
        </w:tc>
        <w:tc>
          <w:tcPr>
            <w:tcW w:type="dxa" w:w="1440"/>
          </w:tcPr>
          <w:p>
            <w:r>
              <w:t>[сумма]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Дизельное топливо</w:t>
            </w:r>
          </w:p>
        </w:tc>
        <w:tc>
          <w:tcPr>
            <w:tcW w:type="dxa" w:w="1440"/>
          </w:tcPr>
          <w:p>
            <w:r>
              <w:t>л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[цена]</w:t>
            </w:r>
          </w:p>
        </w:tc>
        <w:tc>
          <w:tcPr>
            <w:tcW w:type="dxa" w:w="1440"/>
          </w:tcPr>
          <w:p>
            <w:r>
              <w:t>[сумма]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Газ СУГ (пропан-бутан)</w:t>
            </w:r>
          </w:p>
        </w:tc>
        <w:tc>
          <w:tcPr>
            <w:tcW w:type="dxa" w:w="1440"/>
          </w:tcPr>
          <w:p>
            <w:r>
              <w:t>кг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[цена]</w:t>
            </w:r>
          </w:p>
        </w:tc>
        <w:tc>
          <w:tcPr>
            <w:tcW w:type="dxa" w:w="1440"/>
          </w:tcPr>
          <w:p>
            <w:r>
              <w:t>[сумма]</w:t>
            </w:r>
          </w:p>
        </w:tc>
      </w:tr>
    </w:tbl>
    <w:p>
      <w:pPr>
        <w:pStyle w:val="Heading2"/>
      </w:pPr>
      <w:r>
        <w:t>Приложение 2. Техническая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Товар</w:t>
            </w:r>
          </w:p>
        </w:tc>
        <w:tc>
          <w:tcPr>
            <w:tcW w:type="dxa" w:w="1440"/>
          </w:tcPr>
          <w:p>
            <w:r>
              <w:t>Марка</w:t>
            </w:r>
          </w:p>
        </w:tc>
        <w:tc>
          <w:tcPr>
            <w:tcW w:type="dxa" w:w="1440"/>
          </w:tcPr>
          <w:p>
            <w:r>
              <w:t>Характеристика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Бензин АИ-92</w:t>
            </w:r>
          </w:p>
        </w:tc>
        <w:tc>
          <w:tcPr>
            <w:tcW w:type="dxa" w:w="1440"/>
          </w:tcPr>
          <w:p>
            <w:r>
              <w:t>АИ-92-К5</w:t>
            </w:r>
          </w:p>
        </w:tc>
        <w:tc>
          <w:tcPr>
            <w:tcW w:type="dxa" w:w="1440"/>
          </w:tcPr>
          <w:p>
            <w:r>
              <w:t>класс К5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л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Бензин АИ-95</w:t>
            </w:r>
          </w:p>
        </w:tc>
        <w:tc>
          <w:tcPr>
            <w:tcW w:type="dxa" w:w="1440"/>
          </w:tcPr>
          <w:p>
            <w:r>
              <w:t>АИ-95-К5</w:t>
            </w:r>
          </w:p>
        </w:tc>
        <w:tc>
          <w:tcPr>
            <w:tcW w:type="dxa" w:w="1440"/>
          </w:tcPr>
          <w:p>
            <w:r>
              <w:t>класс К5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л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Дизельное топливо</w:t>
            </w:r>
          </w:p>
        </w:tc>
        <w:tc>
          <w:tcPr>
            <w:tcW w:type="dxa" w:w="1440"/>
          </w:tcPr>
          <w:p>
            <w:r>
              <w:t>ДТ-К5</w:t>
            </w:r>
          </w:p>
        </w:tc>
        <w:tc>
          <w:tcPr>
            <w:tcW w:type="dxa" w:w="1440"/>
          </w:tcPr>
          <w:p>
            <w:r>
              <w:t>класс К5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л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Газ СУГ (пропан-бутан)</w:t>
            </w:r>
          </w:p>
        </w:tc>
        <w:tc>
          <w:tcPr>
            <w:tcW w:type="dxa" w:w="1440"/>
          </w:tcPr>
          <w:p>
            <w:r>
              <w:t>ПБА</w:t>
            </w:r>
          </w:p>
        </w:tc>
        <w:tc>
          <w:tcPr>
            <w:tcW w:type="dxa" w:w="1440"/>
          </w:tcPr>
          <w:p>
            <w:r>
              <w:t>автомобильный</w:t>
            </w:r>
          </w:p>
        </w:tc>
        <w:tc>
          <w:tcPr>
            <w:tcW w:type="dxa" w:w="1440"/>
          </w:tcPr>
          <w:p>
            <w:r>
              <w:t>[количество]</w:t>
            </w:r>
          </w:p>
        </w:tc>
        <w:tc>
          <w:tcPr>
            <w:tcW w:type="dxa" w:w="1440"/>
          </w:tcPr>
          <w:p>
            <w:r>
              <w:t>кг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