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5A4F" w14:textId="41C60DEC" w:rsidR="003A127A" w:rsidRDefault="003A12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HYPERLINK "https://cayimby.org/2025-legislation/"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Pr="003A127A">
        <w:rPr>
          <w:rStyle w:val="Hyperlink"/>
          <w:rFonts w:ascii="Times New Roman" w:hAnsi="Times New Roman" w:cs="Times New Roman"/>
        </w:rPr>
        <w:t>CA YIMBY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has a </w:t>
      </w:r>
      <w:hyperlink r:id="rId5" w:history="1">
        <w:r w:rsidRPr="003A127A">
          <w:rPr>
            <w:rStyle w:val="Hyperlink"/>
            <w:rFonts w:ascii="Times New Roman" w:hAnsi="Times New Roman" w:cs="Times New Roman"/>
          </w:rPr>
          <w:t>2025 Legislation Tracker</w:t>
        </w:r>
      </w:hyperlink>
    </w:p>
    <w:p w14:paraId="7140321D" w14:textId="77777777" w:rsidR="008C578F" w:rsidRDefault="008C578F">
      <w:pPr>
        <w:rPr>
          <w:rFonts w:ascii="Times New Roman" w:hAnsi="Times New Roman" w:cs="Times New Roman"/>
        </w:rPr>
      </w:pPr>
    </w:p>
    <w:p w14:paraId="1766601A" w14:textId="573D99C0" w:rsidR="00A63072" w:rsidRDefault="00A630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HYPERLINK "https://www.rand.org/pubs/research_reports/RRA3743-1.html"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Pr="00A63072">
        <w:rPr>
          <w:rStyle w:val="Hyperlink"/>
          <w:rFonts w:ascii="Times New Roman" w:hAnsi="Times New Roman" w:cs="Times New Roman"/>
        </w:rPr>
        <w:t>Ward and Schlake, “The High Cost of Producing Multifamily Housing in California”</w:t>
      </w:r>
      <w:r>
        <w:rPr>
          <w:rFonts w:ascii="Times New Roman" w:hAnsi="Times New Roman" w:cs="Times New Roman"/>
        </w:rPr>
        <w:fldChar w:fldCharType="end"/>
      </w:r>
    </w:p>
    <w:p w14:paraId="1D45A0AC" w14:textId="77777777" w:rsidR="00A63072" w:rsidRDefault="00A63072">
      <w:pPr>
        <w:rPr>
          <w:rFonts w:ascii="Times New Roman" w:hAnsi="Times New Roman" w:cs="Times New Roman"/>
        </w:rPr>
      </w:pPr>
    </w:p>
    <w:p w14:paraId="30FA256B" w14:textId="7B12B2E8" w:rsidR="00F52692" w:rsidRDefault="00F5269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Alameldin</w:t>
      </w:r>
      <w:proofErr w:type="spellEnd"/>
      <w:r>
        <w:rPr>
          <w:rFonts w:ascii="Times New Roman" w:hAnsi="Times New Roman" w:cs="Times New Roman"/>
        </w:rPr>
        <w:t>, “California Housing Laws That Go into Effect in 2025” (</w:t>
      </w:r>
      <w:hyperlink r:id="rId6" w:history="1">
        <w:r w:rsidRPr="00F52692">
          <w:rPr>
            <w:rStyle w:val="Hyperlink"/>
            <w:rFonts w:ascii="Times New Roman" w:hAnsi="Times New Roman" w:cs="Times New Roman"/>
          </w:rPr>
          <w:t>Terner Center</w:t>
        </w:r>
      </w:hyperlink>
      <w:r>
        <w:rPr>
          <w:rFonts w:ascii="Times New Roman" w:hAnsi="Times New Roman" w:cs="Times New Roman"/>
        </w:rPr>
        <w:t>)</w:t>
      </w:r>
    </w:p>
    <w:p w14:paraId="01D462C0" w14:textId="7FC65FB8" w:rsidR="00F52692" w:rsidRDefault="00110BE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Laws to Facilitate More Housing Production</w:t>
      </w:r>
    </w:p>
    <w:p w14:paraId="23CFC689" w14:textId="0873DF1A" w:rsidR="00110BE9" w:rsidRDefault="00A9536C" w:rsidP="00A95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Senate Bill (SB) 450 amends Senate Bill 9 (2021), a law allowing </w:t>
      </w:r>
      <w:r w:rsidR="008D263C">
        <w:rPr>
          <w:rFonts w:ascii="Times New Roman" w:hAnsi="Times New Roman" w:cs="Times New Roman"/>
        </w:rPr>
        <w:t>duplexes</w:t>
      </w:r>
      <w:r>
        <w:rPr>
          <w:rFonts w:ascii="Times New Roman" w:hAnsi="Times New Roman" w:cs="Times New Roman"/>
        </w:rPr>
        <w:t xml:space="preserve"> and lot splits </w:t>
      </w:r>
      <w:r w:rsidR="00967B88">
        <w:rPr>
          <w:rFonts w:ascii="Times New Roman" w:hAnsi="Times New Roman" w:cs="Times New Roman"/>
        </w:rPr>
        <w:t>on single-family residential lots</w:t>
      </w:r>
    </w:p>
    <w:p w14:paraId="2F9BC304" w14:textId="14274E08" w:rsidR="00967B88" w:rsidRDefault="008D263C" w:rsidP="006237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Requires local governments to approve/deny SB 9 project applications within 60 days</w:t>
      </w:r>
    </w:p>
    <w:p w14:paraId="7ACC2288" w14:textId="3E95BFD3" w:rsidR="008D263C" w:rsidRDefault="008D263C" w:rsidP="008D26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7" w:history="1">
        <w:r w:rsidRPr="008D263C">
          <w:rPr>
            <w:rStyle w:val="Hyperlink"/>
            <w:rFonts w:ascii="Times New Roman" w:hAnsi="Times New Roman" w:cs="Times New Roman"/>
          </w:rPr>
          <w:t>“Will Allowing Duplexes and Lot Splits on Parcels Zoned for Single-Family Create New Homes?”</w:t>
        </w:r>
      </w:hyperlink>
      <w:r>
        <w:rPr>
          <w:rFonts w:ascii="Times New Roman" w:hAnsi="Times New Roman" w:cs="Times New Roman"/>
        </w:rPr>
        <w:t xml:space="preserve"> </w:t>
      </w:r>
    </w:p>
    <w:p w14:paraId="0C44E4AB" w14:textId="05DC9852" w:rsidR="008D263C" w:rsidRDefault="008D263C" w:rsidP="008D26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8" w:history="1">
        <w:r w:rsidRPr="008D263C">
          <w:rPr>
            <w:rStyle w:val="Hyperlink"/>
            <w:rFonts w:ascii="Times New Roman" w:hAnsi="Times New Roman" w:cs="Times New Roman"/>
          </w:rPr>
          <w:t>“State Law, Local Interpretation: How Cities Are Implementing Senate Bill 9”</w:t>
        </w:r>
      </w:hyperlink>
    </w:p>
    <w:p w14:paraId="4C7441DB" w14:textId="7E6A9BDA" w:rsidR="008D263C" w:rsidRDefault="008D263C" w:rsidP="008D2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SB 1123 extends SB 684</w:t>
      </w:r>
    </w:p>
    <w:p w14:paraId="5E6E5ED5" w14:textId="0CFDAE6F" w:rsidR="008D263C" w:rsidRDefault="008D263C" w:rsidP="008D26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unit count of 10 units</w:t>
      </w:r>
      <w:r w:rsidR="008E570B">
        <w:rPr>
          <w:rFonts w:ascii="Times New Roman" w:hAnsi="Times New Roman" w:cs="Times New Roman"/>
        </w:rPr>
        <w:t xml:space="preserve"> is amended to not include </w:t>
      </w:r>
      <w:r w:rsidR="00597C42">
        <w:rPr>
          <w:rFonts w:ascii="Times New Roman" w:hAnsi="Times New Roman" w:cs="Times New Roman"/>
        </w:rPr>
        <w:t xml:space="preserve">Accessory Dwelling Units (ADU) </w:t>
      </w:r>
      <w:r w:rsidR="0015100B">
        <w:rPr>
          <w:rFonts w:ascii="Times New Roman" w:hAnsi="Times New Roman" w:cs="Times New Roman"/>
        </w:rPr>
        <w:t>…</w:t>
      </w:r>
      <w:r w:rsidR="0044742D">
        <w:rPr>
          <w:rFonts w:ascii="Times New Roman" w:hAnsi="Times New Roman" w:cs="Times New Roman"/>
        </w:rPr>
        <w:t xml:space="preserve"> local discretion </w:t>
      </w:r>
      <w:r w:rsidR="0053089F">
        <w:rPr>
          <w:rFonts w:ascii="Times New Roman" w:hAnsi="Times New Roman" w:cs="Times New Roman"/>
        </w:rPr>
        <w:t>could allow up to 20 units</w:t>
      </w:r>
    </w:p>
    <w:p w14:paraId="20F7C7E9" w14:textId="747C2975" w:rsidR="0053089F" w:rsidRDefault="0053089F" w:rsidP="00530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 2553 expands eligibility of AB 2097</w:t>
      </w:r>
    </w:p>
    <w:p w14:paraId="31F7641C" w14:textId="678E2B58" w:rsidR="0053089F" w:rsidRDefault="0053089F" w:rsidP="005308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 2553 modifies definition of major transit stop to include sites w/bus routes running every 20 minutes or less (instead of previous 15-minute interval)</w:t>
      </w:r>
    </w:p>
    <w:p w14:paraId="2F46A5F8" w14:textId="27E3B355" w:rsidR="0053089F" w:rsidRDefault="0053089F" w:rsidP="00530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SB 937 </w:t>
      </w:r>
      <w:r w:rsidR="00B2784F">
        <w:rPr>
          <w:rFonts w:ascii="Times New Roman" w:hAnsi="Times New Roman" w:cs="Times New Roman"/>
        </w:rPr>
        <w:t>allows developers to pay certain housing development impact fees later in the process</w:t>
      </w:r>
    </w:p>
    <w:p w14:paraId="38111FC0" w14:textId="5F2673EB" w:rsidR="00B2784F" w:rsidRDefault="00B2784F" w:rsidP="00B278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9" w:history="1">
        <w:r w:rsidRPr="00B2784F">
          <w:rPr>
            <w:rStyle w:val="Hyperlink"/>
            <w:rFonts w:ascii="Times New Roman" w:hAnsi="Times New Roman" w:cs="Times New Roman"/>
          </w:rPr>
          <w:t>Could save as much as 1% of total development costs</w:t>
        </w:r>
      </w:hyperlink>
    </w:p>
    <w:p w14:paraId="0755B12F" w14:textId="240B711E" w:rsidR="00B2784F" w:rsidRDefault="00B2784F" w:rsidP="00B278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AB. 2729 extends expiration date for locally conferred building entitlements by 18 months </w:t>
      </w:r>
      <w:r w:rsidR="00113610">
        <w:rPr>
          <w:rFonts w:ascii="Times New Roman" w:hAnsi="Times New Roman" w:cs="Times New Roman"/>
        </w:rPr>
        <w:t xml:space="preserve">if development was approved before January 1, </w:t>
      </w:r>
      <w:proofErr w:type="gramStart"/>
      <w:r w:rsidR="00113610">
        <w:rPr>
          <w:rFonts w:ascii="Times New Roman" w:hAnsi="Times New Roman" w:cs="Times New Roman"/>
        </w:rPr>
        <w:t>2024</w:t>
      </w:r>
      <w:proofErr w:type="gramEnd"/>
      <w:r w:rsidR="00113610">
        <w:rPr>
          <w:rFonts w:ascii="Times New Roman" w:hAnsi="Times New Roman" w:cs="Times New Roman"/>
        </w:rPr>
        <w:t xml:space="preserve"> and building entitlements were set to expire before December 31, 2025</w:t>
      </w:r>
    </w:p>
    <w:p w14:paraId="5D5077C7" w14:textId="1354FE08" w:rsidR="00113610" w:rsidRDefault="00113610" w:rsidP="0011361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Labor Standards, Affordable Housing, and Tenant Protections</w:t>
      </w:r>
    </w:p>
    <w:p w14:paraId="709E70FA" w14:textId="5E027553" w:rsidR="00113610" w:rsidRDefault="00A63072" w:rsidP="00A630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 supplements LIHTC program by offering its own state-level LIHTC to further support development of affordable housing </w:t>
      </w:r>
    </w:p>
    <w:p w14:paraId="23ABF43A" w14:textId="057D830B" w:rsidR="00A63072" w:rsidRDefault="00A63072" w:rsidP="00A63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 3190 would have expanded application of public works law to include certain affordable housing projects funded in part by state LIHTC</w:t>
      </w:r>
    </w:p>
    <w:p w14:paraId="495206A9" w14:textId="25682713" w:rsidR="00A63072" w:rsidRDefault="00A63072" w:rsidP="00A630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Prevailing wage standards and health benefits for construction workers</w:t>
      </w:r>
    </w:p>
    <w:p w14:paraId="1EBE2C03" w14:textId="66350347" w:rsidR="00A63072" w:rsidRDefault="00A63072" w:rsidP="00A630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  <w:b/>
          <w:bCs/>
        </w:rPr>
        <w:t xml:space="preserve">not </w:t>
      </w:r>
      <w:r>
        <w:rPr>
          <w:rFonts w:ascii="Times New Roman" w:hAnsi="Times New Roman" w:cs="Times New Roman"/>
        </w:rPr>
        <w:t xml:space="preserve">go into effect; tied to $500 million in state LIHTC that was vetoed </w:t>
      </w:r>
    </w:p>
    <w:p w14:paraId="0F317B1B" w14:textId="0A2FDE98" w:rsidR="00A63072" w:rsidRDefault="00A63072" w:rsidP="00A63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SB 440 enables local governments in CA to form </w:t>
      </w:r>
      <w:hyperlink r:id="rId10" w:history="1">
        <w:r w:rsidRPr="00A63072">
          <w:rPr>
            <w:rStyle w:val="Hyperlink"/>
            <w:rFonts w:ascii="Times New Roman" w:hAnsi="Times New Roman" w:cs="Times New Roman"/>
          </w:rPr>
          <w:t>Regional Housing Finance Authorities</w:t>
        </w:r>
      </w:hyperlink>
    </w:p>
    <w:p w14:paraId="33E82E04" w14:textId="11B5D00B" w:rsidR="00A63072" w:rsidRDefault="00A63072" w:rsidP="00A63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 846 expands tenant protections under </w:t>
      </w:r>
      <w:hyperlink r:id="rId11" w:history="1">
        <w:r w:rsidRPr="00A63072">
          <w:rPr>
            <w:rStyle w:val="Hyperlink"/>
            <w:rFonts w:ascii="Times New Roman" w:hAnsi="Times New Roman" w:cs="Times New Roman"/>
          </w:rPr>
          <w:t>CA rent cap law</w:t>
        </w:r>
      </w:hyperlink>
      <w:r>
        <w:rPr>
          <w:rFonts w:ascii="Times New Roman" w:hAnsi="Times New Roman" w:cs="Times New Roman"/>
        </w:rPr>
        <w:t xml:space="preserve"> to include affordable housing financed through LIHTC</w:t>
      </w:r>
    </w:p>
    <w:p w14:paraId="21AEB472" w14:textId="2A362ABF" w:rsidR="00A63072" w:rsidRPr="00A63072" w:rsidRDefault="00A63072" w:rsidP="00A630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Requires regulations limiting annual rent increases on existing LIHTC projects</w:t>
      </w:r>
    </w:p>
    <w:sectPr w:rsidR="00A63072" w:rsidRPr="00A6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412F3"/>
    <w:multiLevelType w:val="hybridMultilevel"/>
    <w:tmpl w:val="7BC81FFE"/>
    <w:lvl w:ilvl="0" w:tplc="F33E57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654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04"/>
    <w:rsid w:val="000731D4"/>
    <w:rsid w:val="00110BE9"/>
    <w:rsid w:val="00113610"/>
    <w:rsid w:val="0015100B"/>
    <w:rsid w:val="001C763E"/>
    <w:rsid w:val="003A127A"/>
    <w:rsid w:val="0044742D"/>
    <w:rsid w:val="00477B46"/>
    <w:rsid w:val="0053089F"/>
    <w:rsid w:val="00597C42"/>
    <w:rsid w:val="005C323B"/>
    <w:rsid w:val="00623740"/>
    <w:rsid w:val="008C578F"/>
    <w:rsid w:val="008D263C"/>
    <w:rsid w:val="008E570B"/>
    <w:rsid w:val="00967B88"/>
    <w:rsid w:val="009A4504"/>
    <w:rsid w:val="00A63072"/>
    <w:rsid w:val="00A9536C"/>
    <w:rsid w:val="00B2784F"/>
    <w:rsid w:val="00CD6EE8"/>
    <w:rsid w:val="00CD7691"/>
    <w:rsid w:val="00F52692"/>
    <w:rsid w:val="00F8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FF473"/>
  <w15:chartTrackingRefBased/>
  <w15:docId w15:val="{9087F7D8-DE67-9E49-BA93-5094D5E9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5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26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rnercenter.berkeley.edu/research-and-policy/state-law-local-interpretation-senate-bill-9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rnercenter.berkeley.edu/wp-content/uploads/2021/07/SB-9-Brief-July-2021-Final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rnercenter.berkeley.edu/blog/california-housing-laws-that-go-into-effect-in-2025/" TargetMode="External"/><Relationship Id="rId11" Type="http://schemas.openxmlformats.org/officeDocument/2006/relationships/hyperlink" Target="https://ternercenter.berkeley.edu/blog/rising-rents-not-enough-data-rent-cap/" TargetMode="External"/><Relationship Id="rId5" Type="http://schemas.openxmlformats.org/officeDocument/2006/relationships/hyperlink" Target="https://app.abstract.us/library-billList/share/7653ffd5-ee9d-45f1-9d8c-11838bfa92f3" TargetMode="External"/><Relationship Id="rId10" Type="http://schemas.openxmlformats.org/officeDocument/2006/relationships/hyperlink" Target="https://ternercenter.berkeley.edu/wp-content/uploads/2024/09/Addressing-the-Housing-Needs-of-Low-Income-Households-in-the-Bay-Area-Fina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rnercenter.berkeley.edu/research-and-policy/making-it-pencil-20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Posthumus, Daniel@Energy</dc:creator>
  <cp:keywords/>
  <dc:description/>
  <cp:lastModifiedBy>Posthumus, Daniel@Energy</cp:lastModifiedBy>
  <cp:revision>20</cp:revision>
  <dcterms:created xsi:type="dcterms:W3CDTF">2025-04-29T19:14:00Z</dcterms:created>
  <dcterms:modified xsi:type="dcterms:W3CDTF">2025-04-29T19:29:00Z</dcterms:modified>
</cp:coreProperties>
</file>