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61EAC" w14:textId="39BCBD22" w:rsidR="004174F5" w:rsidRDefault="00331C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memo, I present preliminary descriptive findings about two possible </w:t>
      </w:r>
      <w:r w:rsidR="003F0CB0">
        <w:rPr>
          <w:rFonts w:ascii="Times New Roman" w:hAnsi="Times New Roman" w:cs="Times New Roman"/>
        </w:rPr>
        <w:t xml:space="preserve">large-sample </w:t>
      </w:r>
      <w:r w:rsidR="00981388">
        <w:rPr>
          <w:rFonts w:ascii="Times New Roman" w:hAnsi="Times New Roman" w:cs="Times New Roman"/>
        </w:rPr>
        <w:t>measures of land use regulatory intensity</w:t>
      </w:r>
      <w:r w:rsidR="00F01F60">
        <w:rPr>
          <w:rFonts w:ascii="Times New Roman" w:hAnsi="Times New Roman" w:cs="Times New Roman"/>
        </w:rPr>
        <w:t xml:space="preserve"> and discuss their differences/similarities</w:t>
      </w:r>
      <w:r w:rsidR="00981388">
        <w:rPr>
          <w:rFonts w:ascii="Times New Roman" w:hAnsi="Times New Roman" w:cs="Times New Roman"/>
        </w:rPr>
        <w:t>:</w:t>
      </w:r>
    </w:p>
    <w:p w14:paraId="404B1930" w14:textId="1C574E54" w:rsidR="00981388" w:rsidRDefault="00F01F60" w:rsidP="00981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Wharton Residential Land Use Regulatory Index (WRLURI)</w:t>
      </w:r>
    </w:p>
    <w:p w14:paraId="2F229DFB" w14:textId="0E4C8E06" w:rsidR="00ED1376" w:rsidRDefault="00ED1376" w:rsidP="00ED13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hyperlink r:id="rId5" w:history="1">
        <w:proofErr w:type="spellStart"/>
        <w:r w:rsidR="000D17D0" w:rsidRPr="000D17D0">
          <w:rPr>
            <w:rStyle w:val="Hyperlink"/>
            <w:rFonts w:ascii="Times New Roman" w:hAnsi="Times New Roman" w:cs="Times New Roman"/>
          </w:rPr>
          <w:t>Gyourko</w:t>
        </w:r>
        <w:proofErr w:type="spellEnd"/>
        <w:r w:rsidR="000D17D0" w:rsidRPr="000D17D0">
          <w:rPr>
            <w:rStyle w:val="Hyperlink"/>
            <w:rFonts w:ascii="Times New Roman" w:hAnsi="Times New Roman" w:cs="Times New Roman"/>
          </w:rPr>
          <w:t>, Hartley, and Krimmel (2021)</w:t>
        </w:r>
      </w:hyperlink>
    </w:p>
    <w:p w14:paraId="1DE447B8" w14:textId="18E4DF8E" w:rsidR="00F01F60" w:rsidRDefault="00557810" w:rsidP="00981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LLM Generative Regulatory Measure </w:t>
      </w:r>
    </w:p>
    <w:p w14:paraId="2EBBB566" w14:textId="6BE05D4C" w:rsidR="000D17D0" w:rsidRDefault="000D17D0" w:rsidP="000D17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hyperlink r:id="rId6" w:history="1">
        <w:r w:rsidRPr="000950F5">
          <w:rPr>
            <w:rStyle w:val="Hyperlink"/>
            <w:rFonts w:ascii="Times New Roman" w:hAnsi="Times New Roman" w:cs="Times New Roman"/>
          </w:rPr>
          <w:t>Bartik, Gupta, and Milo (</w:t>
        </w:r>
        <w:r w:rsidR="000950F5" w:rsidRPr="000950F5">
          <w:rPr>
            <w:rStyle w:val="Hyperlink"/>
            <w:rFonts w:ascii="Times New Roman" w:hAnsi="Times New Roman" w:cs="Times New Roman"/>
          </w:rPr>
          <w:t>2025)</w:t>
        </w:r>
      </w:hyperlink>
    </w:p>
    <w:p w14:paraId="4BA323B6" w14:textId="4B580E34" w:rsidR="000950F5" w:rsidRDefault="008B736F" w:rsidP="000950F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Differences</w:t>
      </w:r>
    </w:p>
    <w:p w14:paraId="214AE926" w14:textId="3FCC28AF" w:rsidR="008B736F" w:rsidRDefault="008848B1" w:rsidP="0009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fundamentally different approaches to building a comprehensive </w:t>
      </w:r>
      <w:r w:rsidR="003F7C1E">
        <w:rPr>
          <w:rFonts w:ascii="Times New Roman" w:hAnsi="Times New Roman" w:cs="Times New Roman"/>
        </w:rPr>
        <w:t>dataset</w:t>
      </w:r>
      <w:r w:rsidR="001A317F">
        <w:rPr>
          <w:rFonts w:ascii="Times New Roman" w:hAnsi="Times New Roman" w:cs="Times New Roman"/>
        </w:rPr>
        <w:t xml:space="preserve"> of land use regulatory intensity. </w:t>
      </w:r>
      <w:r w:rsidR="00BF691B">
        <w:rPr>
          <w:rFonts w:ascii="Times New Roman" w:hAnsi="Times New Roman" w:cs="Times New Roman"/>
        </w:rPr>
        <w:t>WRLURI</w:t>
      </w:r>
      <w:r w:rsidR="0069329A">
        <w:rPr>
          <w:rFonts w:ascii="Times New Roman" w:hAnsi="Times New Roman" w:cs="Times New Roman"/>
        </w:rPr>
        <w:t xml:space="preserve"> </w:t>
      </w:r>
      <w:r w:rsidR="00577E43">
        <w:rPr>
          <w:rFonts w:ascii="Times New Roman" w:hAnsi="Times New Roman" w:cs="Times New Roman"/>
        </w:rPr>
        <w:t>conduct</w:t>
      </w:r>
      <w:r w:rsidR="005E4FEB">
        <w:rPr>
          <w:rFonts w:ascii="Times New Roman" w:hAnsi="Times New Roman" w:cs="Times New Roman"/>
        </w:rPr>
        <w:t>s</w:t>
      </w:r>
      <w:r w:rsidR="00577E43">
        <w:rPr>
          <w:rFonts w:ascii="Times New Roman" w:hAnsi="Times New Roman" w:cs="Times New Roman"/>
        </w:rPr>
        <w:t xml:space="preserve"> a </w:t>
      </w:r>
      <w:r w:rsidR="00F34519">
        <w:rPr>
          <w:rFonts w:ascii="Times New Roman" w:hAnsi="Times New Roman" w:cs="Times New Roman"/>
        </w:rPr>
        <w:t xml:space="preserve">survey (their survey instrument can be found </w:t>
      </w:r>
      <w:hyperlink r:id="rId7" w:history="1">
        <w:r w:rsidR="00F34519" w:rsidRPr="00F34519">
          <w:rPr>
            <w:rStyle w:val="Hyperlink"/>
            <w:rFonts w:ascii="Times New Roman" w:hAnsi="Times New Roman" w:cs="Times New Roman"/>
          </w:rPr>
          <w:t>here</w:t>
        </w:r>
      </w:hyperlink>
      <w:r w:rsidR="00F34519">
        <w:rPr>
          <w:rFonts w:ascii="Times New Roman" w:hAnsi="Times New Roman" w:cs="Times New Roman"/>
        </w:rPr>
        <w:t xml:space="preserve">), whereas </w:t>
      </w:r>
      <w:r w:rsidR="00D82490">
        <w:rPr>
          <w:rFonts w:ascii="Times New Roman" w:hAnsi="Times New Roman" w:cs="Times New Roman"/>
        </w:rPr>
        <w:t>the LLM Generative Regulatory Measure</w:t>
      </w:r>
      <w:r w:rsidR="00383293">
        <w:rPr>
          <w:rFonts w:ascii="Times New Roman" w:hAnsi="Times New Roman" w:cs="Times New Roman"/>
        </w:rPr>
        <w:t xml:space="preserve"> </w:t>
      </w:r>
      <w:r w:rsidR="0031302F">
        <w:rPr>
          <w:rFonts w:ascii="Times New Roman" w:hAnsi="Times New Roman" w:cs="Times New Roman"/>
        </w:rPr>
        <w:t xml:space="preserve">process </w:t>
      </w:r>
      <w:r w:rsidR="00A25A00">
        <w:rPr>
          <w:rFonts w:ascii="Times New Roman" w:hAnsi="Times New Roman" w:cs="Times New Roman"/>
        </w:rPr>
        <w:t xml:space="preserve">administrative documents and </w:t>
      </w:r>
      <w:r w:rsidR="00276A40">
        <w:rPr>
          <w:rFonts w:ascii="Times New Roman" w:hAnsi="Times New Roman" w:cs="Times New Roman"/>
        </w:rPr>
        <w:t xml:space="preserve">legal information to directly </w:t>
      </w:r>
      <w:r w:rsidR="006D7309">
        <w:rPr>
          <w:rFonts w:ascii="Times New Roman" w:hAnsi="Times New Roman" w:cs="Times New Roman"/>
        </w:rPr>
        <w:t>estimate regulatory intensity.</w:t>
      </w:r>
      <w:r w:rsidR="002B66F3">
        <w:rPr>
          <w:rFonts w:ascii="Times New Roman" w:hAnsi="Times New Roman" w:cs="Times New Roman"/>
        </w:rPr>
        <w:t xml:space="preserve"> </w:t>
      </w:r>
      <w:r w:rsidR="005402B7">
        <w:rPr>
          <w:rFonts w:ascii="Times New Roman" w:hAnsi="Times New Roman" w:cs="Times New Roman"/>
        </w:rPr>
        <w:t xml:space="preserve">Unsurprisingly, </w:t>
      </w:r>
      <w:r w:rsidR="00EA3F43">
        <w:rPr>
          <w:rFonts w:ascii="Times New Roman" w:hAnsi="Times New Roman" w:cs="Times New Roman"/>
        </w:rPr>
        <w:t xml:space="preserve">these approaches yield very different </w:t>
      </w:r>
      <w:r w:rsidR="004C5840">
        <w:rPr>
          <w:rFonts w:ascii="Times New Roman" w:hAnsi="Times New Roman" w:cs="Times New Roman"/>
        </w:rPr>
        <w:t xml:space="preserve">stylized facts about </w:t>
      </w:r>
      <w:r w:rsidR="00BF790F">
        <w:rPr>
          <w:rFonts w:ascii="Times New Roman" w:hAnsi="Times New Roman" w:cs="Times New Roman"/>
        </w:rPr>
        <w:t>regulatory intensity in the United States.</w:t>
      </w:r>
    </w:p>
    <w:p w14:paraId="1E128C54" w14:textId="0931669B" w:rsidR="00A837A9" w:rsidRDefault="00A837A9" w:rsidP="000950F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Coverage</w:t>
      </w:r>
    </w:p>
    <w:p w14:paraId="1909A256" w14:textId="59DC8FB3" w:rsidR="0049770A" w:rsidRDefault="000879B6" w:rsidP="0009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 w:rsidR="00250FEF">
        <w:rPr>
          <w:rFonts w:ascii="Times New Roman" w:hAnsi="Times New Roman" w:cs="Times New Roman"/>
        </w:rPr>
        <w:t>the LLM measure has a much larger sample size</w:t>
      </w:r>
      <w:r w:rsidR="004443B5">
        <w:rPr>
          <w:rFonts w:ascii="Times New Roman" w:hAnsi="Times New Roman" w:cs="Times New Roman"/>
        </w:rPr>
        <w:t xml:space="preserve">. </w:t>
      </w:r>
      <w:r w:rsidR="00FD68FD">
        <w:rPr>
          <w:rFonts w:ascii="Times New Roman" w:hAnsi="Times New Roman" w:cs="Times New Roman"/>
        </w:rPr>
        <w:t xml:space="preserve">At the CBSA-level, </w:t>
      </w:r>
      <w:r w:rsidR="00AA06A8">
        <w:rPr>
          <w:rFonts w:ascii="Times New Roman" w:hAnsi="Times New Roman" w:cs="Times New Roman"/>
        </w:rPr>
        <w:t xml:space="preserve">the Wharton measure </w:t>
      </w:r>
      <w:r w:rsidR="00F360E1">
        <w:rPr>
          <w:rFonts w:ascii="Times New Roman" w:hAnsi="Times New Roman" w:cs="Times New Roman"/>
        </w:rPr>
        <w:t xml:space="preserve">has data for </w:t>
      </w:r>
      <w:r w:rsidR="006126D5">
        <w:rPr>
          <w:rFonts w:ascii="Times New Roman" w:hAnsi="Times New Roman" w:cs="Times New Roman"/>
        </w:rPr>
        <w:t>5</w:t>
      </w:r>
      <w:r w:rsidR="007A35CD">
        <w:rPr>
          <w:rFonts w:ascii="Times New Roman" w:hAnsi="Times New Roman" w:cs="Times New Roman"/>
        </w:rPr>
        <w:t>5 CBSAs</w:t>
      </w:r>
      <w:r w:rsidR="00362BB2">
        <w:rPr>
          <w:rFonts w:ascii="Times New Roman" w:hAnsi="Times New Roman" w:cs="Times New Roman"/>
        </w:rPr>
        <w:t xml:space="preserve">, </w:t>
      </w:r>
      <w:r w:rsidR="006872C3">
        <w:rPr>
          <w:rFonts w:ascii="Times New Roman" w:hAnsi="Times New Roman" w:cs="Times New Roman"/>
        </w:rPr>
        <w:t xml:space="preserve">while the LLM measure has </w:t>
      </w:r>
      <w:r w:rsidR="00C92E19">
        <w:rPr>
          <w:rFonts w:ascii="Times New Roman" w:hAnsi="Times New Roman" w:cs="Times New Roman"/>
        </w:rPr>
        <w:t xml:space="preserve">data for 713 CBSAs. </w:t>
      </w:r>
      <w:r w:rsidR="00FD2B6D">
        <w:rPr>
          <w:rFonts w:ascii="Times New Roman" w:hAnsi="Times New Roman" w:cs="Times New Roman"/>
        </w:rPr>
        <w:t xml:space="preserve">50 of those CBSAs are </w:t>
      </w:r>
      <w:r w:rsidR="00AC3930">
        <w:rPr>
          <w:rFonts w:ascii="Times New Roman" w:hAnsi="Times New Roman" w:cs="Times New Roman"/>
        </w:rPr>
        <w:t xml:space="preserve">identified in both </w:t>
      </w:r>
      <w:r w:rsidR="00577193">
        <w:rPr>
          <w:rFonts w:ascii="Times New Roman" w:hAnsi="Times New Roman" w:cs="Times New Roman"/>
        </w:rPr>
        <w:t xml:space="preserve">datasets. </w:t>
      </w:r>
      <w:r w:rsidR="00FE4FEF">
        <w:rPr>
          <w:rFonts w:ascii="Times New Roman" w:hAnsi="Times New Roman" w:cs="Times New Roman"/>
        </w:rPr>
        <w:t>We can do a quick check</w:t>
      </w:r>
      <w:r w:rsidR="002F08BC">
        <w:rPr>
          <w:rFonts w:ascii="Times New Roman" w:hAnsi="Times New Roman" w:cs="Times New Roman"/>
        </w:rPr>
        <w:t xml:space="preserve"> for </w:t>
      </w:r>
      <w:r w:rsidR="00027523">
        <w:rPr>
          <w:rFonts w:ascii="Times New Roman" w:hAnsi="Times New Roman" w:cs="Times New Roman"/>
        </w:rPr>
        <w:t xml:space="preserve">whether </w:t>
      </w:r>
      <w:r w:rsidR="00A11DA2">
        <w:rPr>
          <w:rFonts w:ascii="Times New Roman" w:hAnsi="Times New Roman" w:cs="Times New Roman"/>
        </w:rPr>
        <w:t xml:space="preserve">selection into the </w:t>
      </w:r>
      <w:r w:rsidR="007D3AB8">
        <w:rPr>
          <w:rFonts w:ascii="Times New Roman" w:hAnsi="Times New Roman" w:cs="Times New Roman"/>
        </w:rPr>
        <w:t xml:space="preserve">sample is biased by comparing </w:t>
      </w:r>
      <w:r w:rsidR="000D0BA3">
        <w:rPr>
          <w:rFonts w:ascii="Times New Roman" w:hAnsi="Times New Roman" w:cs="Times New Roman"/>
        </w:rPr>
        <w:t xml:space="preserve">the LLM-estimated </w:t>
      </w:r>
      <w:r w:rsidR="009B4E46">
        <w:rPr>
          <w:rFonts w:ascii="Times New Roman" w:hAnsi="Times New Roman" w:cs="Times New Roman"/>
        </w:rPr>
        <w:t xml:space="preserve">overall regulatory intensity </w:t>
      </w:r>
      <w:r w:rsidR="006A0BDE">
        <w:rPr>
          <w:rFonts w:ascii="Times New Roman" w:hAnsi="Times New Roman" w:cs="Times New Roman"/>
        </w:rPr>
        <w:t xml:space="preserve">in the </w:t>
      </w:r>
      <w:r w:rsidR="00343492">
        <w:rPr>
          <w:rFonts w:ascii="Times New Roman" w:hAnsi="Times New Roman" w:cs="Times New Roman"/>
        </w:rPr>
        <w:t xml:space="preserve">50 CBSAs present in both datasets </w:t>
      </w:r>
      <w:r w:rsidR="00765682">
        <w:rPr>
          <w:rFonts w:ascii="Times New Roman" w:hAnsi="Times New Roman" w:cs="Times New Roman"/>
        </w:rPr>
        <w:t xml:space="preserve">and the </w:t>
      </w:r>
      <w:r w:rsidR="001C6CC3">
        <w:rPr>
          <w:rFonts w:ascii="Times New Roman" w:hAnsi="Times New Roman" w:cs="Times New Roman"/>
        </w:rPr>
        <w:t>663 CBSAs identified only in the LLM dataset:</w:t>
      </w:r>
    </w:p>
    <w:p w14:paraId="738AFA8A" w14:textId="0A59015D" w:rsidR="001C6CC3" w:rsidRDefault="00BF0A8A" w:rsidP="004F3EED">
      <w:pPr>
        <w:jc w:val="center"/>
        <w:rPr>
          <w:rFonts w:ascii="Times New Roman" w:hAnsi="Times New Roman" w:cs="Times New Roman"/>
        </w:rPr>
      </w:pPr>
      <w:r w:rsidRPr="00BF0A8A">
        <w:rPr>
          <w:rFonts w:ascii="Times New Roman" w:hAnsi="Times New Roman" w:cs="Times New Roman"/>
          <w:noProof/>
        </w:rPr>
        <w:drawing>
          <wp:inline distT="0" distB="0" distL="0" distR="0" wp14:anchorId="1395FCF8" wp14:editId="51ACAE8A">
            <wp:extent cx="4737100" cy="3030529"/>
            <wp:effectExtent l="0" t="0" r="0" b="5080"/>
            <wp:docPr id="96710529" name="Picture 1" descr="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0529" name="Picture 1" descr="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836" cy="30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BF33" w14:textId="19A4F922" w:rsidR="00A16E3A" w:rsidRDefault="00BF0A8A" w:rsidP="00A16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suggests there </w:t>
      </w:r>
      <w:r w:rsidR="0071065A">
        <w:rPr>
          <w:rFonts w:ascii="Times New Roman" w:hAnsi="Times New Roman" w:cs="Times New Roman"/>
        </w:rPr>
        <w:t xml:space="preserve">is an </w:t>
      </w:r>
      <w:r w:rsidR="0071065A">
        <w:rPr>
          <w:rFonts w:ascii="Times New Roman" w:hAnsi="Times New Roman" w:cs="Times New Roman"/>
          <w:i/>
          <w:iCs/>
        </w:rPr>
        <w:t xml:space="preserve">upwards </w:t>
      </w:r>
      <w:r w:rsidR="0071065A">
        <w:rPr>
          <w:rFonts w:ascii="Times New Roman" w:hAnsi="Times New Roman" w:cs="Times New Roman"/>
        </w:rPr>
        <w:t xml:space="preserve">bias </w:t>
      </w:r>
      <w:r w:rsidR="00E475CD">
        <w:rPr>
          <w:rFonts w:ascii="Times New Roman" w:hAnsi="Times New Roman" w:cs="Times New Roman"/>
        </w:rPr>
        <w:t>for selection int</w:t>
      </w:r>
      <w:r w:rsidR="004E192B">
        <w:rPr>
          <w:rFonts w:ascii="Times New Roman" w:hAnsi="Times New Roman" w:cs="Times New Roman"/>
        </w:rPr>
        <w:t>o the Wharton sample</w:t>
      </w:r>
      <w:r w:rsidR="00D13033">
        <w:rPr>
          <w:rFonts w:ascii="Times New Roman" w:hAnsi="Times New Roman" w:cs="Times New Roman"/>
        </w:rPr>
        <w:t xml:space="preserve">; </w:t>
      </w:r>
      <w:r w:rsidR="00495479">
        <w:rPr>
          <w:rFonts w:ascii="Times New Roman" w:hAnsi="Times New Roman" w:cs="Times New Roman"/>
        </w:rPr>
        <w:t xml:space="preserve">thus, if we went only off the Wharton </w:t>
      </w:r>
      <w:r w:rsidR="00D458EF">
        <w:rPr>
          <w:rFonts w:ascii="Times New Roman" w:hAnsi="Times New Roman" w:cs="Times New Roman"/>
        </w:rPr>
        <w:t xml:space="preserve">sample, we would over-estimate </w:t>
      </w:r>
      <w:r w:rsidR="00F90E4A">
        <w:rPr>
          <w:rFonts w:ascii="Times New Roman" w:hAnsi="Times New Roman" w:cs="Times New Roman"/>
        </w:rPr>
        <w:t>(relative to the LLM sample)</w:t>
      </w:r>
      <w:r w:rsidR="007961B9">
        <w:rPr>
          <w:rFonts w:ascii="Times New Roman" w:hAnsi="Times New Roman" w:cs="Times New Roman"/>
        </w:rPr>
        <w:t xml:space="preserve"> regulatory stringency.</w:t>
      </w:r>
      <w:r w:rsidR="003F7B0B">
        <w:rPr>
          <w:rFonts w:ascii="Times New Roman" w:hAnsi="Times New Roman" w:cs="Times New Roman"/>
        </w:rPr>
        <w:t xml:space="preserve"> Next, we can create a basic heatmap showing LLM-measured regulatory intensity across CBSAs in the country:</w:t>
      </w:r>
    </w:p>
    <w:p w14:paraId="498C5D6A" w14:textId="023D7B0C" w:rsidR="003F7B0B" w:rsidRDefault="003F7B0B" w:rsidP="003F7B0B">
      <w:pPr>
        <w:jc w:val="center"/>
        <w:rPr>
          <w:rFonts w:ascii="Times New Roman" w:hAnsi="Times New Roman" w:cs="Times New Roman"/>
        </w:rPr>
      </w:pPr>
      <w:r w:rsidRPr="003F7B0B">
        <w:rPr>
          <w:rFonts w:ascii="Times New Roman" w:hAnsi="Times New Roman" w:cs="Times New Roman"/>
        </w:rPr>
        <w:lastRenderedPageBreak/>
        <w:drawing>
          <wp:inline distT="0" distB="0" distL="0" distR="0" wp14:anchorId="0BA62F4A" wp14:editId="09AB1F83">
            <wp:extent cx="5943600" cy="2898140"/>
            <wp:effectExtent l="0" t="0" r="0" b="0"/>
            <wp:docPr id="423763023" name="Picture 1" descr="Map, scatte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63023" name="Picture 1" descr="Map, scatter 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743E" w14:textId="7431F577" w:rsidR="002123C4" w:rsidRPr="002123C4" w:rsidRDefault="002123C4" w:rsidP="00A16E3A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Interpretation of </w:t>
      </w:r>
      <w:r w:rsidR="0015592D">
        <w:rPr>
          <w:rFonts w:ascii="Times New Roman" w:hAnsi="Times New Roman" w:cs="Times New Roman"/>
          <w:i/>
          <w:iCs/>
        </w:rPr>
        <w:t>Index Magnitude</w:t>
      </w:r>
    </w:p>
    <w:p w14:paraId="55D3CE43" w14:textId="6F43398F" w:rsidR="00A16E3A" w:rsidRDefault="0021369F" w:rsidP="0009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Wharton </w:t>
      </w:r>
      <w:r w:rsidR="00425383">
        <w:rPr>
          <w:rFonts w:ascii="Times New Roman" w:hAnsi="Times New Roman" w:cs="Times New Roman"/>
        </w:rPr>
        <w:t>Index is composed of different types of questions</w:t>
      </w:r>
      <w:r w:rsidR="008603C3">
        <w:rPr>
          <w:rFonts w:ascii="Times New Roman" w:hAnsi="Times New Roman" w:cs="Times New Roman"/>
        </w:rPr>
        <w:t xml:space="preserve">; </w:t>
      </w:r>
      <w:r w:rsidR="003C312E">
        <w:rPr>
          <w:rFonts w:ascii="Times New Roman" w:hAnsi="Times New Roman" w:cs="Times New Roman"/>
        </w:rPr>
        <w:t xml:space="preserve">many of these </w:t>
      </w:r>
      <w:r w:rsidR="00DE1EF3">
        <w:rPr>
          <w:rFonts w:ascii="Times New Roman" w:hAnsi="Times New Roman" w:cs="Times New Roman"/>
        </w:rPr>
        <w:t xml:space="preserve">questions, particularly regarding the involvement of local political actors, </w:t>
      </w:r>
      <w:r w:rsidR="00506522">
        <w:rPr>
          <w:rFonts w:ascii="Times New Roman" w:hAnsi="Times New Roman" w:cs="Times New Roman"/>
        </w:rPr>
        <w:t>r</w:t>
      </w:r>
      <w:r w:rsidR="00A53A7D">
        <w:rPr>
          <w:rFonts w:ascii="Times New Roman" w:hAnsi="Times New Roman" w:cs="Times New Roman"/>
        </w:rPr>
        <w:t>equire respondents to place their answers on a simple 1-5 scale (</w:t>
      </w:r>
      <w:r w:rsidR="00015117">
        <w:rPr>
          <w:rFonts w:ascii="Times New Roman" w:hAnsi="Times New Roman" w:cs="Times New Roman"/>
        </w:rPr>
        <w:t xml:space="preserve">from ‘no involvement’ to ‘very involved’). </w:t>
      </w:r>
      <w:r w:rsidR="00A42BD5">
        <w:rPr>
          <w:rFonts w:ascii="Times New Roman" w:hAnsi="Times New Roman" w:cs="Times New Roman"/>
        </w:rPr>
        <w:t xml:space="preserve">Further, </w:t>
      </w:r>
      <w:r w:rsidR="009B5917">
        <w:rPr>
          <w:rFonts w:ascii="Times New Roman" w:hAnsi="Times New Roman" w:cs="Times New Roman"/>
        </w:rPr>
        <w:t>questions about the specific zoning characteristics</w:t>
      </w:r>
      <w:r w:rsidR="00AE3301">
        <w:rPr>
          <w:rFonts w:ascii="Times New Roman" w:hAnsi="Times New Roman" w:cs="Times New Roman"/>
        </w:rPr>
        <w:t xml:space="preserve"> </w:t>
      </w:r>
      <w:r w:rsidR="00A60B2F">
        <w:rPr>
          <w:rFonts w:ascii="Times New Roman" w:hAnsi="Times New Roman" w:cs="Times New Roman"/>
        </w:rPr>
        <w:t>are ranked from a 1-6 scale (from ‘Land-</w:t>
      </w:r>
      <w:r w:rsidR="00BF4A5F">
        <w:rPr>
          <w:rFonts w:ascii="Times New Roman" w:hAnsi="Times New Roman" w:cs="Times New Roman"/>
        </w:rPr>
        <w:t>use</w:t>
      </w:r>
      <w:r w:rsidR="00A60B2F">
        <w:rPr>
          <w:rFonts w:ascii="Times New Roman" w:hAnsi="Times New Roman" w:cs="Times New Roman"/>
        </w:rPr>
        <w:t xml:space="preserve"> is not zoned’ to ‘Far less than demanded’).</w:t>
      </w:r>
      <w:r w:rsidR="00BD2DA9">
        <w:rPr>
          <w:rFonts w:ascii="Times New Roman" w:hAnsi="Times New Roman" w:cs="Times New Roman"/>
        </w:rPr>
        <w:t xml:space="preserve"> This is contrast to </w:t>
      </w:r>
      <w:r w:rsidR="00A369C3">
        <w:rPr>
          <w:rFonts w:ascii="Times New Roman" w:hAnsi="Times New Roman" w:cs="Times New Roman"/>
        </w:rPr>
        <w:t xml:space="preserve">the LLM-generated measure, </w:t>
      </w:r>
      <w:r w:rsidR="00606AC2">
        <w:rPr>
          <w:rFonts w:ascii="Times New Roman" w:hAnsi="Times New Roman" w:cs="Times New Roman"/>
        </w:rPr>
        <w:t xml:space="preserve">for which all questions are either continuous or binary. </w:t>
      </w:r>
    </w:p>
    <w:p w14:paraId="7CD383B1" w14:textId="01B5B0FE" w:rsidR="00160A86" w:rsidRDefault="00160A86" w:rsidP="0009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="003B650E">
        <w:rPr>
          <w:rFonts w:ascii="Times New Roman" w:hAnsi="Times New Roman" w:cs="Times New Roman"/>
        </w:rPr>
        <w:t xml:space="preserve">the Wharton Index’s magnitude has no inherent value; </w:t>
      </w:r>
      <w:r w:rsidR="001D0674">
        <w:rPr>
          <w:rFonts w:ascii="Times New Roman" w:hAnsi="Times New Roman" w:cs="Times New Roman"/>
        </w:rPr>
        <w:t xml:space="preserve">what matters </w:t>
      </w:r>
      <w:r w:rsidR="009F0DBB">
        <w:rPr>
          <w:rFonts w:ascii="Times New Roman" w:hAnsi="Times New Roman" w:cs="Times New Roman"/>
        </w:rPr>
        <w:t xml:space="preserve">is a locality’s </w:t>
      </w:r>
      <w:r w:rsidR="00D21CA2">
        <w:rPr>
          <w:rFonts w:ascii="Times New Roman" w:hAnsi="Times New Roman" w:cs="Times New Roman"/>
        </w:rPr>
        <w:t xml:space="preserve">index relative to </w:t>
      </w:r>
      <w:r w:rsidR="00AB41ED">
        <w:rPr>
          <w:rFonts w:ascii="Times New Roman" w:hAnsi="Times New Roman" w:cs="Times New Roman"/>
        </w:rPr>
        <w:t xml:space="preserve">other localities. </w:t>
      </w:r>
      <w:r w:rsidR="004757DB">
        <w:rPr>
          <w:rFonts w:ascii="Times New Roman" w:hAnsi="Times New Roman" w:cs="Times New Roman"/>
        </w:rPr>
        <w:t>For the sake of consistency</w:t>
      </w:r>
      <w:r w:rsidR="008B7AD6">
        <w:rPr>
          <w:rFonts w:ascii="Times New Roman" w:hAnsi="Times New Roman" w:cs="Times New Roman"/>
        </w:rPr>
        <w:t xml:space="preserve">, </w:t>
      </w:r>
      <w:r w:rsidR="00D600FC">
        <w:rPr>
          <w:rFonts w:ascii="Times New Roman" w:hAnsi="Times New Roman" w:cs="Times New Roman"/>
        </w:rPr>
        <w:t>here</w:t>
      </w:r>
      <w:r w:rsidR="007A51C9">
        <w:rPr>
          <w:rFonts w:ascii="Times New Roman" w:hAnsi="Times New Roman" w:cs="Times New Roman"/>
        </w:rPr>
        <w:t xml:space="preserve">, </w:t>
      </w:r>
      <w:r w:rsidR="008169FE">
        <w:rPr>
          <w:rFonts w:ascii="Times New Roman" w:hAnsi="Times New Roman" w:cs="Times New Roman"/>
        </w:rPr>
        <w:t xml:space="preserve">I standardize all </w:t>
      </w:r>
      <w:r w:rsidR="004F6CA2">
        <w:rPr>
          <w:rFonts w:ascii="Times New Roman" w:hAnsi="Times New Roman" w:cs="Times New Roman"/>
        </w:rPr>
        <w:t>measures</w:t>
      </w:r>
      <w:r w:rsidR="00357944">
        <w:rPr>
          <w:rFonts w:ascii="Times New Roman" w:hAnsi="Times New Roman" w:cs="Times New Roman"/>
        </w:rPr>
        <w:t xml:space="preserve"> to the </w:t>
      </w:r>
      <w:r w:rsidR="00B75FC4">
        <w:rPr>
          <w:rFonts w:ascii="Times New Roman" w:hAnsi="Times New Roman" w:cs="Times New Roman"/>
        </w:rPr>
        <w:t xml:space="preserve">municipality’s </w:t>
      </w:r>
      <w:r w:rsidR="009A66F9">
        <w:rPr>
          <w:rFonts w:ascii="Times New Roman" w:hAnsi="Times New Roman" w:cs="Times New Roman"/>
        </w:rPr>
        <w:t xml:space="preserve">z-score for that </w:t>
      </w:r>
      <w:proofErr w:type="gramStart"/>
      <w:r w:rsidR="009A66F9">
        <w:rPr>
          <w:rFonts w:ascii="Times New Roman" w:hAnsi="Times New Roman" w:cs="Times New Roman"/>
        </w:rPr>
        <w:t>particular index</w:t>
      </w:r>
      <w:proofErr w:type="gramEnd"/>
      <w:r w:rsidR="009A66F9">
        <w:rPr>
          <w:rFonts w:ascii="Times New Roman" w:hAnsi="Times New Roman" w:cs="Times New Roman"/>
        </w:rPr>
        <w:t>.</w:t>
      </w:r>
      <w:r w:rsidR="00EC0FF6">
        <w:rPr>
          <w:rFonts w:ascii="Times New Roman" w:hAnsi="Times New Roman" w:cs="Times New Roman"/>
        </w:rPr>
        <w:t xml:space="preserve"> </w:t>
      </w:r>
    </w:p>
    <w:p w14:paraId="312FCEDC" w14:textId="756350E7" w:rsidR="0062269C" w:rsidRDefault="00C65344" w:rsidP="0062269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Measure Similarity</w:t>
      </w:r>
    </w:p>
    <w:p w14:paraId="1FC3AF7B" w14:textId="068CD800" w:rsidR="0062269C" w:rsidRDefault="00221A5C" w:rsidP="0009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we can compare the overall indices measures; </w:t>
      </w:r>
      <w:r w:rsidR="0049742F">
        <w:rPr>
          <w:rFonts w:ascii="Times New Roman" w:hAnsi="Times New Roman" w:cs="Times New Roman"/>
        </w:rPr>
        <w:t>by comparing z-scores, we’re essentially checking how similar</w:t>
      </w:r>
      <w:r w:rsidR="00405B5E">
        <w:rPr>
          <w:rFonts w:ascii="Times New Roman" w:hAnsi="Times New Roman" w:cs="Times New Roman"/>
        </w:rPr>
        <w:t>ly localities are placed in the distribution</w:t>
      </w:r>
      <w:r w:rsidR="00CA56E1">
        <w:rPr>
          <w:rFonts w:ascii="Times New Roman" w:hAnsi="Times New Roman" w:cs="Times New Roman"/>
        </w:rPr>
        <w:t xml:space="preserve"> of </w:t>
      </w:r>
      <w:r w:rsidR="00BD13B2">
        <w:rPr>
          <w:rFonts w:ascii="Times New Roman" w:hAnsi="Times New Roman" w:cs="Times New Roman"/>
        </w:rPr>
        <w:t>regulatory intensity.</w:t>
      </w:r>
    </w:p>
    <w:p w14:paraId="1A32A13B" w14:textId="2879EDC8" w:rsidR="001D44A4" w:rsidRDefault="00B215AB" w:rsidP="00B215AB">
      <w:pPr>
        <w:jc w:val="center"/>
        <w:rPr>
          <w:rFonts w:ascii="Times New Roman" w:hAnsi="Times New Roman" w:cs="Times New Roman"/>
        </w:rPr>
      </w:pPr>
      <w:r w:rsidRPr="00B215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A3D504" wp14:editId="51412679">
            <wp:extent cx="4660900" cy="3477251"/>
            <wp:effectExtent l="0" t="0" r="0" b="3175"/>
            <wp:docPr id="379282317" name="Picture 1" descr="Chart, scatte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82317" name="Picture 1" descr="Chart, scatter 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285" cy="350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ACA1" w14:textId="0D463F65" w:rsidR="00B215AB" w:rsidRDefault="00B532CF" w:rsidP="00B532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positive association, although clearly there are series discrepancies between the measures; they are far from perfectly correlated. </w:t>
      </w:r>
      <w:r w:rsidR="00CB34A0">
        <w:rPr>
          <w:rFonts w:ascii="Times New Roman" w:hAnsi="Times New Roman" w:cs="Times New Roman"/>
        </w:rPr>
        <w:t>The LLM index has two principal comments</w:t>
      </w:r>
      <w:r w:rsidR="005D575F">
        <w:rPr>
          <w:rFonts w:ascii="Times New Roman" w:hAnsi="Times New Roman" w:cs="Times New Roman"/>
        </w:rPr>
        <w:t xml:space="preserve">: </w:t>
      </w:r>
      <w:r w:rsidR="009B6AA1">
        <w:rPr>
          <w:rFonts w:ascii="Times New Roman" w:hAnsi="Times New Roman" w:cs="Times New Roman"/>
        </w:rPr>
        <w:t xml:space="preserve">1) </w:t>
      </w:r>
      <w:r w:rsidR="00285EAB">
        <w:rPr>
          <w:rFonts w:ascii="Times New Roman" w:hAnsi="Times New Roman" w:cs="Times New Roman"/>
        </w:rPr>
        <w:t xml:space="preserve">Value Capture and 2) </w:t>
      </w:r>
      <w:r w:rsidR="00886D72">
        <w:rPr>
          <w:rFonts w:ascii="Times New Roman" w:hAnsi="Times New Roman" w:cs="Times New Roman"/>
        </w:rPr>
        <w:t xml:space="preserve">Exclusionary Zoning. </w:t>
      </w:r>
    </w:p>
    <w:p w14:paraId="01BB4CBB" w14:textId="267A32EB" w:rsidR="009F0758" w:rsidRDefault="006E0061" w:rsidP="004F3EED">
      <w:pPr>
        <w:jc w:val="center"/>
        <w:rPr>
          <w:rFonts w:ascii="Times New Roman" w:hAnsi="Times New Roman" w:cs="Times New Roman"/>
        </w:rPr>
      </w:pPr>
      <w:r w:rsidRPr="006E0061">
        <w:rPr>
          <w:rFonts w:ascii="Times New Roman" w:hAnsi="Times New Roman" w:cs="Times New Roman"/>
          <w:noProof/>
        </w:rPr>
        <w:drawing>
          <wp:inline distT="0" distB="0" distL="0" distR="0" wp14:anchorId="39001659" wp14:editId="4C8B1AA8">
            <wp:extent cx="4647294" cy="3467100"/>
            <wp:effectExtent l="0" t="0" r="1270" b="0"/>
            <wp:docPr id="683485885" name="Picture 1" descr="Chart, scatte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85885" name="Picture 1" descr="Chart, scatter char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613" cy="34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9E18" w14:textId="51EB9469" w:rsidR="006E0061" w:rsidRDefault="006E0061" w:rsidP="004F3EED">
      <w:pPr>
        <w:jc w:val="center"/>
        <w:rPr>
          <w:rFonts w:ascii="Times New Roman" w:hAnsi="Times New Roman" w:cs="Times New Roman"/>
        </w:rPr>
      </w:pPr>
      <w:r w:rsidRPr="006E006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A96D2A" wp14:editId="5BBACA7D">
            <wp:extent cx="4660900" cy="3477250"/>
            <wp:effectExtent l="0" t="0" r="0" b="3175"/>
            <wp:docPr id="469794089" name="Picture 1" descr="Chart, scatte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94089" name="Picture 1" descr="Chart, scatter char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002" cy="35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2521" w14:textId="7FAA616B" w:rsidR="009165FD" w:rsidRDefault="00644F7B" w:rsidP="0009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rather surprising to me; </w:t>
      </w:r>
      <w:r w:rsidR="00651479">
        <w:rPr>
          <w:rFonts w:ascii="Times New Roman" w:hAnsi="Times New Roman" w:cs="Times New Roman"/>
        </w:rPr>
        <w:t>these results suggest that the Wharton Index</w:t>
      </w:r>
      <w:r w:rsidR="00AC40F6">
        <w:rPr>
          <w:rFonts w:ascii="Times New Roman" w:hAnsi="Times New Roman" w:cs="Times New Roman"/>
        </w:rPr>
        <w:t xml:space="preserve"> has almost no correlation to </w:t>
      </w:r>
      <w:r w:rsidR="00B45E67">
        <w:rPr>
          <w:rFonts w:ascii="Times New Roman" w:hAnsi="Times New Roman" w:cs="Times New Roman"/>
        </w:rPr>
        <w:t xml:space="preserve">the LLM regulations’ </w:t>
      </w:r>
      <w:r w:rsidR="00E25A36">
        <w:rPr>
          <w:rFonts w:ascii="Times New Roman" w:hAnsi="Times New Roman" w:cs="Times New Roman"/>
        </w:rPr>
        <w:t>estimates of</w:t>
      </w:r>
      <w:r w:rsidR="0009480F">
        <w:rPr>
          <w:rFonts w:ascii="Times New Roman" w:hAnsi="Times New Roman" w:cs="Times New Roman"/>
        </w:rPr>
        <w:t xml:space="preserve"> the</w:t>
      </w:r>
      <w:r w:rsidR="00E25A36">
        <w:rPr>
          <w:rFonts w:ascii="Times New Roman" w:hAnsi="Times New Roman" w:cs="Times New Roman"/>
        </w:rPr>
        <w:t xml:space="preserve"> </w:t>
      </w:r>
      <w:r w:rsidR="00C87B53">
        <w:rPr>
          <w:rFonts w:ascii="Times New Roman" w:hAnsi="Times New Roman" w:cs="Times New Roman"/>
        </w:rPr>
        <w:t>(relative</w:t>
      </w:r>
      <w:r w:rsidR="00866DD9">
        <w:rPr>
          <w:rFonts w:ascii="Times New Roman" w:hAnsi="Times New Roman" w:cs="Times New Roman"/>
        </w:rPr>
        <w:t xml:space="preserve">) </w:t>
      </w:r>
      <w:r w:rsidR="0012028D">
        <w:rPr>
          <w:rFonts w:ascii="Times New Roman" w:hAnsi="Times New Roman" w:cs="Times New Roman"/>
        </w:rPr>
        <w:t>intensity of zoning</w:t>
      </w:r>
      <w:r w:rsidR="00F52D02">
        <w:rPr>
          <w:rFonts w:ascii="Times New Roman" w:hAnsi="Times New Roman" w:cs="Times New Roman"/>
        </w:rPr>
        <w:t>.</w:t>
      </w:r>
      <w:r w:rsidR="007D2905">
        <w:rPr>
          <w:rFonts w:ascii="Times New Roman" w:hAnsi="Times New Roman" w:cs="Times New Roman"/>
        </w:rPr>
        <w:t xml:space="preserve"> </w:t>
      </w:r>
    </w:p>
    <w:p w14:paraId="3F80F1E0" w14:textId="77777777" w:rsidR="0016765C" w:rsidRDefault="0016765C" w:rsidP="000950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Nonetheless, both exhibit the about the same correlation between regulatory intensity and housing affordability:</w:t>
      </w:r>
    </w:p>
    <w:p w14:paraId="1A596AE5" w14:textId="77777777" w:rsidR="0016765C" w:rsidRDefault="0016765C" w:rsidP="0016765C">
      <w:pPr>
        <w:jc w:val="center"/>
        <w:rPr>
          <w:rFonts w:ascii="Times New Roman" w:hAnsi="Times New Roman" w:cs="Times New Roman"/>
        </w:rPr>
      </w:pPr>
      <w:r w:rsidRPr="0016765C">
        <w:rPr>
          <w:rFonts w:ascii="Times New Roman" w:hAnsi="Times New Roman" w:cs="Times New Roman"/>
        </w:rPr>
        <w:drawing>
          <wp:inline distT="0" distB="0" distL="0" distR="0" wp14:anchorId="7466B149" wp14:editId="41164165">
            <wp:extent cx="4432300" cy="3137178"/>
            <wp:effectExtent l="0" t="0" r="0" b="0"/>
            <wp:docPr id="1136312447" name="Picture 1" descr="Scatte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12447" name="Picture 1" descr="Scatter char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154" cy="31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4243" w14:textId="45AEA892" w:rsidR="00E15FC6" w:rsidRPr="009165FD" w:rsidRDefault="0016765C" w:rsidP="0016765C">
      <w:pPr>
        <w:jc w:val="center"/>
        <w:rPr>
          <w:rFonts w:ascii="Times New Roman" w:hAnsi="Times New Roman" w:cs="Times New Roman"/>
        </w:rPr>
      </w:pPr>
      <w:r w:rsidRPr="0016765C">
        <w:rPr>
          <w:rFonts w:ascii="Times New Roman" w:hAnsi="Times New Roman" w:cs="Times New Roman"/>
        </w:rPr>
        <w:lastRenderedPageBreak/>
        <w:drawing>
          <wp:inline distT="0" distB="0" distL="0" distR="0" wp14:anchorId="1A0131F5" wp14:editId="3D0D637E">
            <wp:extent cx="4991100" cy="3480439"/>
            <wp:effectExtent l="0" t="0" r="0" b="0"/>
            <wp:docPr id="433972117" name="Picture 1" descr="Chart, scatte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72117" name="Picture 1" descr="Chart, scatter char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7607" cy="34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FC6" w:rsidRPr="0091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C3FDE"/>
    <w:multiLevelType w:val="hybridMultilevel"/>
    <w:tmpl w:val="74985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5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39"/>
    <w:rsid w:val="00000EA6"/>
    <w:rsid w:val="00013039"/>
    <w:rsid w:val="00015117"/>
    <w:rsid w:val="00027523"/>
    <w:rsid w:val="000731D4"/>
    <w:rsid w:val="000879B6"/>
    <w:rsid w:val="0009480F"/>
    <w:rsid w:val="000950F5"/>
    <w:rsid w:val="00095A5A"/>
    <w:rsid w:val="000C1ACF"/>
    <w:rsid w:val="000D0BA3"/>
    <w:rsid w:val="000D17D0"/>
    <w:rsid w:val="0012028D"/>
    <w:rsid w:val="001244C3"/>
    <w:rsid w:val="0015592D"/>
    <w:rsid w:val="00160A86"/>
    <w:rsid w:val="0016765C"/>
    <w:rsid w:val="001A317F"/>
    <w:rsid w:val="001C6CC3"/>
    <w:rsid w:val="001C763E"/>
    <w:rsid w:val="001D0674"/>
    <w:rsid w:val="001D44A4"/>
    <w:rsid w:val="002123C4"/>
    <w:rsid w:val="0021369F"/>
    <w:rsid w:val="00221A5C"/>
    <w:rsid w:val="00242F38"/>
    <w:rsid w:val="00250FEF"/>
    <w:rsid w:val="0026472F"/>
    <w:rsid w:val="00276A40"/>
    <w:rsid w:val="00285EAB"/>
    <w:rsid w:val="002B66F3"/>
    <w:rsid w:val="002F08BC"/>
    <w:rsid w:val="0031302F"/>
    <w:rsid w:val="00317247"/>
    <w:rsid w:val="00326BC9"/>
    <w:rsid w:val="00331C3F"/>
    <w:rsid w:val="00343492"/>
    <w:rsid w:val="00357944"/>
    <w:rsid w:val="00362BB2"/>
    <w:rsid w:val="00383293"/>
    <w:rsid w:val="003B1947"/>
    <w:rsid w:val="003B650E"/>
    <w:rsid w:val="003C312E"/>
    <w:rsid w:val="003F0CB0"/>
    <w:rsid w:val="003F7B0B"/>
    <w:rsid w:val="003F7C1E"/>
    <w:rsid w:val="00405B5E"/>
    <w:rsid w:val="004174F5"/>
    <w:rsid w:val="00425383"/>
    <w:rsid w:val="00426CEA"/>
    <w:rsid w:val="004300A8"/>
    <w:rsid w:val="004443B5"/>
    <w:rsid w:val="004757DB"/>
    <w:rsid w:val="00477B46"/>
    <w:rsid w:val="00495479"/>
    <w:rsid w:val="0049742F"/>
    <w:rsid w:val="0049770A"/>
    <w:rsid w:val="004C5840"/>
    <w:rsid w:val="004E192B"/>
    <w:rsid w:val="004F3EED"/>
    <w:rsid w:val="004F6CA2"/>
    <w:rsid w:val="00506522"/>
    <w:rsid w:val="00523DEC"/>
    <w:rsid w:val="005402B7"/>
    <w:rsid w:val="00557810"/>
    <w:rsid w:val="00577193"/>
    <w:rsid w:val="00577E43"/>
    <w:rsid w:val="005C323B"/>
    <w:rsid w:val="005D575F"/>
    <w:rsid w:val="005D5849"/>
    <w:rsid w:val="005E4FEB"/>
    <w:rsid w:val="005F5FE8"/>
    <w:rsid w:val="00606AC2"/>
    <w:rsid w:val="006126D5"/>
    <w:rsid w:val="0062269C"/>
    <w:rsid w:val="00644F7B"/>
    <w:rsid w:val="00651479"/>
    <w:rsid w:val="006872C3"/>
    <w:rsid w:val="0069329A"/>
    <w:rsid w:val="006A0BDE"/>
    <w:rsid w:val="006D7309"/>
    <w:rsid w:val="006E0061"/>
    <w:rsid w:val="006E33DF"/>
    <w:rsid w:val="0071065A"/>
    <w:rsid w:val="007425B8"/>
    <w:rsid w:val="00765682"/>
    <w:rsid w:val="007961B9"/>
    <w:rsid w:val="007A35CD"/>
    <w:rsid w:val="007A51C9"/>
    <w:rsid w:val="007B1A8E"/>
    <w:rsid w:val="007D2905"/>
    <w:rsid w:val="007D3AB8"/>
    <w:rsid w:val="007D769E"/>
    <w:rsid w:val="008169FE"/>
    <w:rsid w:val="008173BA"/>
    <w:rsid w:val="008603C3"/>
    <w:rsid w:val="00866DD9"/>
    <w:rsid w:val="008829EF"/>
    <w:rsid w:val="008848B1"/>
    <w:rsid w:val="00886D72"/>
    <w:rsid w:val="00896F39"/>
    <w:rsid w:val="008B736F"/>
    <w:rsid w:val="008B7AD6"/>
    <w:rsid w:val="009165FD"/>
    <w:rsid w:val="00981388"/>
    <w:rsid w:val="009A66F9"/>
    <w:rsid w:val="009B4E46"/>
    <w:rsid w:val="009B5917"/>
    <w:rsid w:val="009B6AA1"/>
    <w:rsid w:val="009D7BC7"/>
    <w:rsid w:val="009F0758"/>
    <w:rsid w:val="009F0DBB"/>
    <w:rsid w:val="009F3DF1"/>
    <w:rsid w:val="00A11DA2"/>
    <w:rsid w:val="00A16E3A"/>
    <w:rsid w:val="00A25A00"/>
    <w:rsid w:val="00A369C3"/>
    <w:rsid w:val="00A42BD5"/>
    <w:rsid w:val="00A53A7D"/>
    <w:rsid w:val="00A60B2F"/>
    <w:rsid w:val="00A837A9"/>
    <w:rsid w:val="00AA06A8"/>
    <w:rsid w:val="00AA5E39"/>
    <w:rsid w:val="00AB41ED"/>
    <w:rsid w:val="00AC3930"/>
    <w:rsid w:val="00AC40F6"/>
    <w:rsid w:val="00AD4394"/>
    <w:rsid w:val="00AE3301"/>
    <w:rsid w:val="00B215AB"/>
    <w:rsid w:val="00B37C1E"/>
    <w:rsid w:val="00B45E67"/>
    <w:rsid w:val="00B532CF"/>
    <w:rsid w:val="00B75FC4"/>
    <w:rsid w:val="00BC3CBA"/>
    <w:rsid w:val="00BD13B2"/>
    <w:rsid w:val="00BD2DA9"/>
    <w:rsid w:val="00BF0A8A"/>
    <w:rsid w:val="00BF3541"/>
    <w:rsid w:val="00BF4A5F"/>
    <w:rsid w:val="00BF5390"/>
    <w:rsid w:val="00BF691B"/>
    <w:rsid w:val="00BF790F"/>
    <w:rsid w:val="00C65344"/>
    <w:rsid w:val="00C87B53"/>
    <w:rsid w:val="00C92E19"/>
    <w:rsid w:val="00CA44F6"/>
    <w:rsid w:val="00CA56E1"/>
    <w:rsid w:val="00CB02FE"/>
    <w:rsid w:val="00CB34A0"/>
    <w:rsid w:val="00D13033"/>
    <w:rsid w:val="00D21CA2"/>
    <w:rsid w:val="00D458EF"/>
    <w:rsid w:val="00D600FC"/>
    <w:rsid w:val="00D82490"/>
    <w:rsid w:val="00DE1EF3"/>
    <w:rsid w:val="00E15FC6"/>
    <w:rsid w:val="00E25A36"/>
    <w:rsid w:val="00E475CD"/>
    <w:rsid w:val="00EA3F43"/>
    <w:rsid w:val="00EC0FF6"/>
    <w:rsid w:val="00ED1376"/>
    <w:rsid w:val="00F01F60"/>
    <w:rsid w:val="00F34519"/>
    <w:rsid w:val="00F360E1"/>
    <w:rsid w:val="00F52D02"/>
    <w:rsid w:val="00F63D62"/>
    <w:rsid w:val="00F90E4A"/>
    <w:rsid w:val="00FD2B6D"/>
    <w:rsid w:val="00FD68FD"/>
    <w:rsid w:val="00FD6F51"/>
    <w:rsid w:val="00FE4FEF"/>
    <w:rsid w:val="00FE70D5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FA991"/>
  <w15:chartTrackingRefBased/>
  <w15:docId w15:val="{FF1F0908-6C04-1142-912A-6A5924AB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0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7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eal-faculty.wharton.upenn.edu/wp-content/uploads/~gyourko/WRLURI/GyourkoHartleyKrimmel_NBERw26573appendix.pdf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pers.ssrn.com/sol3/papers.cfm?abstract_id=4627587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sciencedirect.com/science/article/pii/S009411902100019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Posthumus, Daniel@Energy</dc:creator>
  <cp:keywords/>
  <dc:description/>
  <cp:lastModifiedBy>Posthumus, Daniel@Energy</cp:lastModifiedBy>
  <cp:revision>169</cp:revision>
  <dcterms:created xsi:type="dcterms:W3CDTF">2025-04-28T19:00:00Z</dcterms:created>
  <dcterms:modified xsi:type="dcterms:W3CDTF">2025-04-30T21:58:00Z</dcterms:modified>
</cp:coreProperties>
</file>