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5386" w14:textId="77777777" w:rsidR="00DE0220" w:rsidRDefault="00DE0220" w:rsidP="00DE0220">
      <w:r>
        <w:t>Indonesia is a rapidly developing economy: between 2000 and 2019, it averaged 5.26\% economic growth and its post-COVID \</w:t>
      </w:r>
      <w:proofErr w:type="spellStart"/>
      <w:r>
        <w:t>textit</w:t>
      </w:r>
      <w:proofErr w:type="spellEnd"/>
      <w:r>
        <w:t xml:space="preserve">{economic} recovery is robust. Yet, human capital formation has </w:t>
      </w:r>
      <w:proofErr w:type="gramStart"/>
      <w:r>
        <w:t>lagged behind</w:t>
      </w:r>
      <w:proofErr w:type="gramEnd"/>
      <w:r>
        <w:t xml:space="preserve"> the country's impressive economic performance, resulting in slowing productivity growth. The pandemic hit Indonesia's education system particularly hard: starting in March 2022, Indonesia's schools were closed for 21 months. Consequently, students lost approximately 11 months of learning--and poor children were even more negatively affected, widening inequality in learning outcomes. \</w:t>
      </w:r>
      <w:proofErr w:type="spellStart"/>
      <w:proofErr w:type="gramStart"/>
      <w:r>
        <w:t>citep</w:t>
      </w:r>
      <w:proofErr w:type="spellEnd"/>
      <w:r>
        <w:t>{</w:t>
      </w:r>
      <w:proofErr w:type="gramEnd"/>
      <w:r>
        <w:t xml:space="preserve">Bank2023} As a result of these weaknesses in the educational system, 2022 </w:t>
      </w:r>
      <w:proofErr w:type="spellStart"/>
      <w:r>
        <w:t>Programme</w:t>
      </w:r>
      <w:proofErr w:type="spellEnd"/>
      <w:r>
        <w:t xml:space="preserve"> for International Student Assessment (PISA) scores were lower across the board than 2018 scores; in 2022, Indonesia ranked near the bottom in nearly every indicator among the 80 countries that completed PISA tests. \</w:t>
      </w:r>
      <w:proofErr w:type="spellStart"/>
      <w:proofErr w:type="gramStart"/>
      <w:r>
        <w:t>citep</w:t>
      </w:r>
      <w:proofErr w:type="spellEnd"/>
      <w:r>
        <w:t>{</w:t>
      </w:r>
      <w:proofErr w:type="gramEnd"/>
      <w:r>
        <w:t>Wijaya2024} \footnote{PISA tests are fielded by the OECD and focus on 15-year-old academic performance. Declining test scores in Indonesia predate COVID, as Indonesia saw declines in PISA mathematics scores between 2015 and 2018 as well.} These declines are occurring amidst increases in education spending, student enrollment, and gender parity; clearly, there is a divergence between going to school and learning in school. \</w:t>
      </w:r>
      <w:proofErr w:type="spellStart"/>
      <w:proofErr w:type="gramStart"/>
      <w:r>
        <w:t>citep</w:t>
      </w:r>
      <w:proofErr w:type="spellEnd"/>
      <w:r>
        <w:t>{</w:t>
      </w:r>
      <w:proofErr w:type="gramEnd"/>
      <w:r>
        <w:t>Afkar2020}</w:t>
      </w:r>
    </w:p>
    <w:p w14:paraId="07CBE425" w14:textId="77777777" w:rsidR="00DE0220" w:rsidRDefault="00DE0220" w:rsidP="00DE0220"/>
    <w:p w14:paraId="33FC1637" w14:textId="77777777" w:rsidR="00DE0220" w:rsidRDefault="00DE0220" w:rsidP="00DE0220">
      <w:r>
        <w:t>One solution to this trend of worsening or stagnating educational outcomes might be early childhood education: a World Bank report in 2020 proposed compulsory and accessible ``two years of quality early childhood education" as one way to fix problems in learning and skills attainment. \</w:t>
      </w:r>
      <w:proofErr w:type="spellStart"/>
      <w:proofErr w:type="gramStart"/>
      <w:r>
        <w:t>citep</w:t>
      </w:r>
      <w:proofErr w:type="spellEnd"/>
      <w:r>
        <w:t>{</w:t>
      </w:r>
      <w:proofErr w:type="gramEnd"/>
      <w:r>
        <w:t xml:space="preserve">Afkar2020} Currently, students attending kindergarten overwhelmingly go to </w:t>
      </w:r>
      <w:proofErr w:type="spellStart"/>
      <w:r>
        <w:t>to</w:t>
      </w:r>
      <w:proofErr w:type="spellEnd"/>
      <w:r>
        <w:t xml:space="preserve"> \</w:t>
      </w:r>
      <w:proofErr w:type="spellStart"/>
      <w:r>
        <w:t>textit</w:t>
      </w:r>
      <w:proofErr w:type="spellEnd"/>
      <w:r>
        <w:t>{private} schools--a phenomenon that was also true in the 1990s and one that suggests a lack of investment in accessible kindergarten.\footnote{See Figure ~\ref{</w:t>
      </w:r>
      <w:proofErr w:type="spellStart"/>
      <w:r>
        <w:t>kinder_numscatter</w:t>
      </w:r>
      <w:proofErr w:type="spellEnd"/>
      <w:r>
        <w:t>}. The current evidence comes from the 2020 World Bank Report referenced above: in 2019-2020, 95.7\% of kindergartens were private. In 1990 and 2000 that figure was 95.06\% and 96.63\%, respectively.} Early childhood education is a critical part of the process of human capital accumulation; there's a wealth of evidence that in early childhood, when brains are at their most malleable, human capital investments exhibit higher rates of return than equivalent investments later in life. Certainly, there is a wealth of empirical evidence supporting early childhood interventions' efficacy in improving human capital and later-life outcomes particularly for \</w:t>
      </w:r>
      <w:proofErr w:type="spellStart"/>
      <w:r>
        <w:t>textit</w:t>
      </w:r>
      <w:proofErr w:type="spellEnd"/>
      <w:r>
        <w:t>{disadvantaged} children, which I discuss in detail in \</w:t>
      </w:r>
      <w:proofErr w:type="spellStart"/>
      <w:r>
        <w:t>nameref</w:t>
      </w:r>
      <w:proofErr w:type="spellEnd"/>
      <w:r>
        <w:t>{</w:t>
      </w:r>
      <w:proofErr w:type="spellStart"/>
      <w:r>
        <w:t>sec:lit_rev</w:t>
      </w:r>
      <w:proofErr w:type="spellEnd"/>
      <w:r>
        <w:t>}.</w:t>
      </w:r>
    </w:p>
    <w:p w14:paraId="68ED0D5A" w14:textId="77777777" w:rsidR="00DE0220" w:rsidRDefault="00DE0220" w:rsidP="00DE0220"/>
    <w:p w14:paraId="69261993" w14:textId="77777777" w:rsidR="00DE0220" w:rsidRDefault="00DE0220" w:rsidP="00DE0220">
      <w:r>
        <w:t xml:space="preserve">This invites the question of whether kindergarten has previously been effective in improving educational outcomes in Indonesia--an under-studied question but one that is critical to informing future educational policy. Thus, in this research I examine the effects of </w:t>
      </w:r>
      <w:r>
        <w:lastRenderedPageBreak/>
        <w:t>kindergarten attendance, with an emphasis on looking at short-, medium- and long-term effects. I focus on 1) educational attainment and 2) cognitive performance. To examine heterogeneity of kindergarten's effects over time--a critical concept in the early childhood intervention literature, I collect granular data of educational attainment, varying by level of school, and cognitive test performance in three different years.</w:t>
      </w:r>
    </w:p>
    <w:p w14:paraId="75AFFB1C" w14:textId="77777777" w:rsidR="00DE0220" w:rsidRDefault="00DE0220" w:rsidP="00DE0220"/>
    <w:p w14:paraId="7B4151C9" w14:textId="77777777" w:rsidR="00DE0220" w:rsidRDefault="00DE0220" w:rsidP="00DE0220">
      <w:r>
        <w:t>In order to study long-term effects, it's necessary to have a multi-wave household survey.\</w:t>
      </w:r>
      <w:proofErr w:type="gramStart"/>
      <w:r>
        <w:t>footnote{</w:t>
      </w:r>
      <w:proofErr w:type="gramEnd"/>
      <w:r>
        <w:t>I.e., the Personal Study of Income Dynamics (PSID) in the United States that is often used to study Head Start's effects.} I employ the Indonesian Family Life Survey (IFLS) to track individuals from 1997 to 2014, while also collecting household- and community-level data. I also use the Village Potential Statistics (PODES) survey to gather data on community-level presence of kindergartens. Merging across waves of the IFLS and narrowing my sample down to individuals who were between 3 and 9 years old in 1997, my sample consists of 3,691 individuals.</w:t>
      </w:r>
    </w:p>
    <w:p w14:paraId="13EB8C86" w14:textId="77777777" w:rsidR="00DE0220" w:rsidRDefault="00DE0220" w:rsidP="00DE0220"/>
    <w:p w14:paraId="4E7AB7F0" w14:textId="77777777" w:rsidR="00DE0220" w:rsidRDefault="00DE0220" w:rsidP="00DE0220">
      <w:r>
        <w:t>I use three empirical methods: OLS estimation, mother fixed-effects, and instrumental variable estimation. While my OLS results are robust, with uncorrelated errors and evidence that my independent variable, kindergarten attendance, is not endogenous, my results clearly suffer from omitted variable bias. This motivates my use of mother fixed-effects, which allows me to control for all unobserved characteristics of a shared mother between siblings; however, mother fixed-effects places additional restrictions on my sample which results in attrition wiping out 93\% of my original sample. Thus, I employ the most robust empirical strategy of the three--IV estimation, using the number of kindergartens per 10,000 people in each locality in 1990 and 2000 as my two instruments, which I find to be very strong and valid for most of my models.</w:t>
      </w:r>
    </w:p>
    <w:p w14:paraId="54EF420F" w14:textId="77777777" w:rsidR="00DE0220" w:rsidRDefault="00DE0220" w:rsidP="00DE0220"/>
    <w:p w14:paraId="79C62B69" w14:textId="77777777" w:rsidR="00DE0220" w:rsidRDefault="00DE0220" w:rsidP="00DE0220">
      <w:r>
        <w:t xml:space="preserve">I find significant evidence of kindergarten's positive effects on educational attainment, specifically for the following outcomes: total years of education, completion of elementary and junior high schools, school attendance in junior high, the likelihood of a student continuing after the completion of elementary school. Critically, I find that kindergarten has little to no impact on educational attainment after junior high school, and no impact on cognitive test performance for any of the three editions of the test. </w:t>
      </w:r>
    </w:p>
    <w:p w14:paraId="427C65E9" w14:textId="77777777" w:rsidR="00DE0220" w:rsidRDefault="00DE0220" w:rsidP="00DE0220"/>
    <w:p w14:paraId="4011D7B9" w14:textId="395E84C5" w:rsidR="00DE0220" w:rsidRDefault="00DE0220" w:rsidP="00DE0220">
      <w:r>
        <w:lastRenderedPageBreak/>
        <w:t xml:space="preserve">The results </w:t>
      </w:r>
      <w:proofErr w:type="gramStart"/>
      <w:r>
        <w:t>suggests</w:t>
      </w:r>
      <w:proofErr w:type="gramEnd"/>
      <w:r>
        <w:t xml:space="preserve"> two phenomena: 1) `fadeout', the concept that the effects of early childhood intervention fade as time passes and 2) a divergence between educational attainment and learning. These findings provide evidence of the fears outlined above, that while educational attainment is rapidly improving in Indonesia, there is not an accompanying improvement in learning. Thus, before expanding preschool </w:t>
      </w:r>
      <w:proofErr w:type="gramStart"/>
      <w:r>
        <w:t>in an attempt to</w:t>
      </w:r>
      <w:proofErr w:type="gramEnd"/>
      <w:r>
        <w:t xml:space="preserve"> improve human capital formation, my results suggest there needs to be more research into the \</w:t>
      </w:r>
      <w:proofErr w:type="spellStart"/>
      <w:r>
        <w:t>textit</w:t>
      </w:r>
      <w:proofErr w:type="spellEnd"/>
      <w:r>
        <w:t>{quality} of existing kindergarten programs. Further research may focus on kindergarten's effects on earnings, economic mobility, and adult health outcomes.</w:t>
      </w:r>
    </w:p>
    <w:sectPr w:rsidR="00DE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20"/>
    <w:rsid w:val="00DE0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AA8C0"/>
  <w15:chartTrackingRefBased/>
  <w15:docId w15:val="{9EC0797E-7DBD-C142-939C-3FAC49A0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20"/>
    <w:rPr>
      <w:rFonts w:eastAsiaTheme="majorEastAsia" w:cstheme="majorBidi"/>
      <w:color w:val="272727" w:themeColor="text1" w:themeTint="D8"/>
    </w:rPr>
  </w:style>
  <w:style w:type="paragraph" w:styleId="Title">
    <w:name w:val="Title"/>
    <w:basedOn w:val="Normal"/>
    <w:next w:val="Normal"/>
    <w:link w:val="TitleChar"/>
    <w:uiPriority w:val="10"/>
    <w:qFormat/>
    <w:rsid w:val="00DE0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20"/>
    <w:pPr>
      <w:spacing w:before="160"/>
      <w:jc w:val="center"/>
    </w:pPr>
    <w:rPr>
      <w:i/>
      <w:iCs/>
      <w:color w:val="404040" w:themeColor="text1" w:themeTint="BF"/>
    </w:rPr>
  </w:style>
  <w:style w:type="character" w:customStyle="1" w:styleId="QuoteChar">
    <w:name w:val="Quote Char"/>
    <w:basedOn w:val="DefaultParagraphFont"/>
    <w:link w:val="Quote"/>
    <w:uiPriority w:val="29"/>
    <w:rsid w:val="00DE0220"/>
    <w:rPr>
      <w:i/>
      <w:iCs/>
      <w:color w:val="404040" w:themeColor="text1" w:themeTint="BF"/>
    </w:rPr>
  </w:style>
  <w:style w:type="paragraph" w:styleId="ListParagraph">
    <w:name w:val="List Paragraph"/>
    <w:basedOn w:val="Normal"/>
    <w:uiPriority w:val="34"/>
    <w:qFormat/>
    <w:rsid w:val="00DE0220"/>
    <w:pPr>
      <w:ind w:left="720"/>
      <w:contextualSpacing/>
    </w:pPr>
  </w:style>
  <w:style w:type="character" w:styleId="IntenseEmphasis">
    <w:name w:val="Intense Emphasis"/>
    <w:basedOn w:val="DefaultParagraphFont"/>
    <w:uiPriority w:val="21"/>
    <w:qFormat/>
    <w:rsid w:val="00DE0220"/>
    <w:rPr>
      <w:i/>
      <w:iCs/>
      <w:color w:val="0F4761" w:themeColor="accent1" w:themeShade="BF"/>
    </w:rPr>
  </w:style>
  <w:style w:type="paragraph" w:styleId="IntenseQuote">
    <w:name w:val="Intense Quote"/>
    <w:basedOn w:val="Normal"/>
    <w:next w:val="Normal"/>
    <w:link w:val="IntenseQuoteChar"/>
    <w:uiPriority w:val="30"/>
    <w:qFormat/>
    <w:rsid w:val="00DE0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220"/>
    <w:rPr>
      <w:i/>
      <w:iCs/>
      <w:color w:val="0F4761" w:themeColor="accent1" w:themeShade="BF"/>
    </w:rPr>
  </w:style>
  <w:style w:type="character" w:styleId="IntenseReference">
    <w:name w:val="Intense Reference"/>
    <w:basedOn w:val="DefaultParagraphFont"/>
    <w:uiPriority w:val="32"/>
    <w:qFormat/>
    <w:rsid w:val="00DE02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cp:revision>
  <dcterms:created xsi:type="dcterms:W3CDTF">2024-04-18T15:29:00Z</dcterms:created>
  <dcterms:modified xsi:type="dcterms:W3CDTF">2024-04-18T15:29:00Z</dcterms:modified>
</cp:coreProperties>
</file>