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03D1A" w14:textId="77777777" w:rsidR="00B92949" w:rsidRPr="00FF2FE7" w:rsidRDefault="00000000">
      <w:pPr>
        <w:spacing w:after="605" w:line="259" w:lineRule="auto"/>
        <w:ind w:left="0" w:firstLine="0"/>
        <w:jc w:val="center"/>
        <w:rPr>
          <w:rFonts w:ascii="Times New Roman" w:hAnsi="Times New Roman" w:cs="Times New Roman"/>
        </w:rPr>
      </w:pPr>
      <w:r w:rsidRPr="00FF2FE7">
        <w:rPr>
          <w:rFonts w:ascii="Times New Roman" w:hAnsi="Times New Roman" w:cs="Times New Roman"/>
          <w:sz w:val="34"/>
        </w:rPr>
        <w:t>Analysis of Rack Prices in California</w:t>
      </w:r>
    </w:p>
    <w:p w14:paraId="73450B20" w14:textId="77777777" w:rsidR="00B92949" w:rsidRPr="00FF2FE7" w:rsidRDefault="00000000">
      <w:pPr>
        <w:spacing w:after="588" w:line="259" w:lineRule="auto"/>
        <w:ind w:left="0" w:firstLine="0"/>
        <w:jc w:val="center"/>
        <w:rPr>
          <w:rFonts w:ascii="Times New Roman" w:hAnsi="Times New Roman" w:cs="Times New Roman"/>
        </w:rPr>
      </w:pPr>
      <w:r w:rsidRPr="00FF2FE7">
        <w:rPr>
          <w:rFonts w:ascii="Times New Roman" w:hAnsi="Times New Roman" w:cs="Times New Roman"/>
          <w:sz w:val="24"/>
        </w:rPr>
        <w:t>August 23, 2024</w:t>
      </w:r>
    </w:p>
    <w:p w14:paraId="3AC8AE0E" w14:textId="77777777" w:rsidR="00B92949" w:rsidRPr="00FF2FE7" w:rsidRDefault="00000000">
      <w:pPr>
        <w:pStyle w:val="Heading1"/>
        <w:ind w:left="469" w:hanging="484"/>
        <w:rPr>
          <w:rFonts w:ascii="Times New Roman" w:hAnsi="Times New Roman" w:cs="Times New Roman"/>
        </w:rPr>
      </w:pPr>
      <w:r w:rsidRPr="00FF2FE7">
        <w:rPr>
          <w:rFonts w:ascii="Times New Roman" w:hAnsi="Times New Roman" w:cs="Times New Roman"/>
        </w:rPr>
        <w:t>Summary</w:t>
      </w:r>
    </w:p>
    <w:p w14:paraId="3E114D91" w14:textId="77777777" w:rsidR="00D732F0" w:rsidRPr="00FF2FE7" w:rsidRDefault="00000000">
      <w:pPr>
        <w:spacing w:after="197" w:line="250" w:lineRule="auto"/>
        <w:ind w:left="-5" w:right="-15"/>
        <w:jc w:val="both"/>
        <w:rPr>
          <w:rFonts w:ascii="Times New Roman" w:hAnsi="Times New Roman" w:cs="Times New Roman"/>
        </w:rPr>
      </w:pPr>
      <w:r w:rsidRPr="00FF2FE7">
        <w:rPr>
          <w:rFonts w:ascii="Times New Roman" w:hAnsi="Times New Roman" w:cs="Times New Roman"/>
        </w:rPr>
        <w:t xml:space="preserve">This memo attempts to summarize the chain of prices in CA’s gasoline market and contextualize these price patterns with respect to the California Mystery Gas Surcharge (MGS). The central takeaways are: </w:t>
      </w:r>
    </w:p>
    <w:p w14:paraId="231C5FDA" w14:textId="3DE02F1C" w:rsidR="00D732F0" w:rsidRPr="00FF2FE7" w:rsidRDefault="00D732F0" w:rsidP="00082235">
      <w:pPr>
        <w:numPr>
          <w:ilvl w:val="0"/>
          <w:numId w:val="1"/>
        </w:numPr>
        <w:spacing w:afterLines="120" w:after="288" w:line="240" w:lineRule="auto"/>
        <w:ind w:hanging="199"/>
        <w:rPr>
          <w:rFonts w:ascii="Times New Roman" w:hAnsi="Times New Roman" w:cs="Times New Roman"/>
        </w:rPr>
      </w:pPr>
      <w:r w:rsidRPr="00FF2FE7">
        <w:rPr>
          <w:rFonts w:ascii="Times New Roman" w:hAnsi="Times New Roman" w:cs="Times New Roman"/>
        </w:rPr>
        <w:t xml:space="preserve">The </w:t>
      </w:r>
      <w:r w:rsidRPr="00FF2FE7">
        <w:rPr>
          <w:rFonts w:ascii="Times New Roman" w:hAnsi="Times New Roman" w:cs="Times New Roman"/>
        </w:rPr>
        <w:t>spot price differential between CA and the rest of the country went through a temporary spike following the Torrance Refinery Fire in February 2015; however, that spot price differential quickly came down to pre</w:t>
      </w:r>
      <w:r w:rsidR="00192F3B" w:rsidRPr="00FF2FE7">
        <w:rPr>
          <w:rFonts w:ascii="Times New Roman" w:hAnsi="Times New Roman" w:cs="Times New Roman"/>
        </w:rPr>
        <w:t>-</w:t>
      </w:r>
      <w:r w:rsidRPr="00FF2FE7">
        <w:rPr>
          <w:rFonts w:ascii="Times New Roman" w:hAnsi="Times New Roman" w:cs="Times New Roman"/>
        </w:rPr>
        <w:t xml:space="preserve">Torrance </w:t>
      </w:r>
      <w:r w:rsidR="00D33DD8" w:rsidRPr="00FF2FE7">
        <w:rPr>
          <w:rFonts w:ascii="Times New Roman" w:hAnsi="Times New Roman" w:cs="Times New Roman"/>
        </w:rPr>
        <w:t xml:space="preserve">Fire </w:t>
      </w:r>
      <w:r w:rsidRPr="00FF2FE7">
        <w:rPr>
          <w:rFonts w:ascii="Times New Roman" w:hAnsi="Times New Roman" w:cs="Times New Roman"/>
        </w:rPr>
        <w:t>levels while the MGS remained elevated.</w:t>
      </w:r>
    </w:p>
    <w:p w14:paraId="49CA5B2F" w14:textId="4BD77124" w:rsidR="00B92949" w:rsidRPr="00FF2FE7" w:rsidRDefault="00000000" w:rsidP="00082235">
      <w:pPr>
        <w:numPr>
          <w:ilvl w:val="0"/>
          <w:numId w:val="1"/>
        </w:numPr>
        <w:spacing w:afterLines="120" w:after="288" w:line="240" w:lineRule="auto"/>
        <w:ind w:hanging="199"/>
        <w:rPr>
          <w:rFonts w:ascii="Times New Roman" w:hAnsi="Times New Roman" w:cs="Times New Roman"/>
        </w:rPr>
      </w:pPr>
      <w:r w:rsidRPr="00FF2FE7">
        <w:rPr>
          <w:rFonts w:ascii="Times New Roman" w:hAnsi="Times New Roman" w:cs="Times New Roman"/>
        </w:rPr>
        <w:t>A persistent increase in the difference between rack prices throughout California and the Los Angeles spot price, in real terms, coincided with the MGS. It appears that the MGS is being generated in between the spot and rack markets.</w:t>
      </w:r>
    </w:p>
    <w:p w14:paraId="7318EDC4" w14:textId="77777777" w:rsidR="00B92949" w:rsidRPr="00FF2FE7" w:rsidRDefault="00000000" w:rsidP="00082235">
      <w:pPr>
        <w:numPr>
          <w:ilvl w:val="0"/>
          <w:numId w:val="1"/>
        </w:numPr>
        <w:spacing w:afterLines="120" w:after="288" w:line="240" w:lineRule="auto"/>
        <w:ind w:hanging="199"/>
        <w:rPr>
          <w:rFonts w:ascii="Times New Roman" w:hAnsi="Times New Roman" w:cs="Times New Roman"/>
        </w:rPr>
      </w:pPr>
      <w:r w:rsidRPr="00FF2FE7">
        <w:rPr>
          <w:rFonts w:ascii="Times New Roman" w:hAnsi="Times New Roman" w:cs="Times New Roman"/>
        </w:rPr>
        <w:t>There has been no apparent change in the pattern of the difference between rack and retail prices throughout California following the Torrance fire.</w:t>
      </w:r>
    </w:p>
    <w:p w14:paraId="1E667449" w14:textId="2793F31E" w:rsidR="00B92949" w:rsidRPr="00FF2FE7" w:rsidRDefault="00000000" w:rsidP="00082235">
      <w:pPr>
        <w:numPr>
          <w:ilvl w:val="0"/>
          <w:numId w:val="1"/>
        </w:numPr>
        <w:spacing w:afterLines="120" w:after="288" w:line="240" w:lineRule="auto"/>
        <w:ind w:hanging="199"/>
        <w:rPr>
          <w:rFonts w:ascii="Times New Roman" w:hAnsi="Times New Roman" w:cs="Times New Roman"/>
        </w:rPr>
      </w:pPr>
      <w:r w:rsidRPr="00FF2FE7">
        <w:rPr>
          <w:rFonts w:ascii="Times New Roman" w:hAnsi="Times New Roman" w:cs="Times New Roman"/>
        </w:rPr>
        <w:t xml:space="preserve">Specific patterns with respect to rack prices vary city-to-city, but </w:t>
      </w:r>
      <w:r w:rsidR="004912A2" w:rsidRPr="00FF2FE7">
        <w:rPr>
          <w:rFonts w:ascii="Times New Roman" w:hAnsi="Times New Roman" w:cs="Times New Roman"/>
        </w:rPr>
        <w:t>overall,</w:t>
      </w:r>
      <w:r w:rsidRPr="00FF2FE7">
        <w:rPr>
          <w:rFonts w:ascii="Times New Roman" w:hAnsi="Times New Roman" w:cs="Times New Roman"/>
        </w:rPr>
        <w:t xml:space="preserve"> the gap between unbranded and branded gasoline prices have widened in the years since the Torrance fire.</w:t>
      </w:r>
    </w:p>
    <w:p w14:paraId="5B87E691" w14:textId="77777777" w:rsidR="00B92949" w:rsidRPr="00FF2FE7" w:rsidRDefault="00000000" w:rsidP="00082235">
      <w:pPr>
        <w:numPr>
          <w:ilvl w:val="0"/>
          <w:numId w:val="1"/>
        </w:numPr>
        <w:spacing w:afterLines="120" w:after="288" w:line="240" w:lineRule="auto"/>
        <w:ind w:hanging="199"/>
        <w:rPr>
          <w:rFonts w:ascii="Times New Roman" w:hAnsi="Times New Roman" w:cs="Times New Roman"/>
        </w:rPr>
      </w:pPr>
      <w:r w:rsidRPr="00FF2FE7">
        <w:rPr>
          <w:rFonts w:ascii="Times New Roman" w:hAnsi="Times New Roman" w:cs="Times New Roman"/>
        </w:rPr>
        <w:t>Overall, variance across rack prices has significantly increased post-Torrance fire.</w:t>
      </w:r>
    </w:p>
    <w:p w14:paraId="11B26C96" w14:textId="77777777" w:rsidR="00082235" w:rsidRPr="00FF2FE7" w:rsidRDefault="00000000" w:rsidP="00082235">
      <w:pPr>
        <w:numPr>
          <w:ilvl w:val="0"/>
          <w:numId w:val="1"/>
        </w:numPr>
        <w:spacing w:afterLines="120" w:after="288" w:line="240" w:lineRule="auto"/>
        <w:ind w:left="504" w:hanging="202"/>
        <w:rPr>
          <w:rFonts w:ascii="Times New Roman" w:hAnsi="Times New Roman" w:cs="Times New Roman"/>
        </w:rPr>
      </w:pPr>
      <w:r w:rsidRPr="00FF2FE7">
        <w:rPr>
          <w:rFonts w:ascii="Times New Roman" w:hAnsi="Times New Roman" w:cs="Times New Roman"/>
        </w:rPr>
        <w:t xml:space="preserve">In particular, Shell-branded, Chevron-branded, and ConocoPhillips-branded gasoline have </w:t>
      </w:r>
      <w:r w:rsidR="004912A2" w:rsidRPr="00FF2FE7">
        <w:rPr>
          <w:rFonts w:ascii="Times New Roman" w:hAnsi="Times New Roman" w:cs="Times New Roman"/>
        </w:rPr>
        <w:t>led</w:t>
      </w:r>
      <w:r w:rsidRPr="00FF2FE7">
        <w:rPr>
          <w:rFonts w:ascii="Times New Roman" w:hAnsi="Times New Roman" w:cs="Times New Roman"/>
        </w:rPr>
        <w:t xml:space="preserve"> the way in outpacing overall rack prices significantly in a pattern dating to around the Torrance fire.</w:t>
      </w:r>
    </w:p>
    <w:p w14:paraId="07A51E8C" w14:textId="22A792AB" w:rsidR="00B92949" w:rsidRPr="00FF2FE7" w:rsidRDefault="00000000" w:rsidP="00082235">
      <w:pPr>
        <w:numPr>
          <w:ilvl w:val="0"/>
          <w:numId w:val="1"/>
        </w:numPr>
        <w:spacing w:afterLines="120" w:after="288" w:line="240" w:lineRule="auto"/>
        <w:ind w:hanging="199"/>
        <w:rPr>
          <w:rFonts w:ascii="Times New Roman" w:hAnsi="Times New Roman" w:cs="Times New Roman"/>
        </w:rPr>
      </w:pPr>
      <w:r w:rsidRPr="00FF2FE7">
        <w:rPr>
          <w:rFonts w:ascii="Times New Roman" w:hAnsi="Times New Roman" w:cs="Times New Roman"/>
        </w:rPr>
        <w:t xml:space="preserve">On the other hand, Valero-branded gasoline has, across the board, </w:t>
      </w:r>
      <w:proofErr w:type="gramStart"/>
      <w:r w:rsidRPr="00FF2FE7">
        <w:rPr>
          <w:rFonts w:ascii="Times New Roman" w:hAnsi="Times New Roman" w:cs="Times New Roman"/>
        </w:rPr>
        <w:t>lagged behind</w:t>
      </w:r>
      <w:proofErr w:type="gramEnd"/>
      <w:r w:rsidRPr="00FF2FE7">
        <w:rPr>
          <w:rFonts w:ascii="Times New Roman" w:hAnsi="Times New Roman" w:cs="Times New Roman"/>
        </w:rPr>
        <w:t xml:space="preserve"> overall rack prices since the Torrance fire.</w:t>
      </w:r>
    </w:p>
    <w:p w14:paraId="64919A7A" w14:textId="77777777" w:rsidR="00B92949" w:rsidRPr="00FF2FE7" w:rsidRDefault="00000000">
      <w:pPr>
        <w:pStyle w:val="Heading1"/>
        <w:ind w:left="469" w:hanging="484"/>
        <w:rPr>
          <w:rFonts w:ascii="Times New Roman" w:hAnsi="Times New Roman" w:cs="Times New Roman"/>
        </w:rPr>
      </w:pPr>
      <w:r w:rsidRPr="00FF2FE7">
        <w:rPr>
          <w:rFonts w:ascii="Times New Roman" w:hAnsi="Times New Roman" w:cs="Times New Roman"/>
        </w:rPr>
        <w:t>Tracing Chain of Prices</w:t>
      </w:r>
    </w:p>
    <w:p w14:paraId="40E02E4F" w14:textId="77777777" w:rsidR="00B92949" w:rsidRPr="00FF2FE7" w:rsidRDefault="00000000">
      <w:pPr>
        <w:spacing w:after="149"/>
        <w:ind w:left="-5"/>
        <w:rPr>
          <w:rFonts w:ascii="Times New Roman" w:hAnsi="Times New Roman" w:cs="Times New Roman"/>
        </w:rPr>
      </w:pPr>
      <w:r w:rsidRPr="00FF2FE7">
        <w:rPr>
          <w:rFonts w:ascii="Times New Roman" w:hAnsi="Times New Roman" w:cs="Times New Roman"/>
        </w:rPr>
        <w:t>Generally, there are 4 ‘stages’ of prices that we can trace out in gasoline markets:</w:t>
      </w:r>
    </w:p>
    <w:p w14:paraId="735D6D6E" w14:textId="77777777" w:rsidR="00B92949" w:rsidRPr="00FF2FE7" w:rsidRDefault="00000000" w:rsidP="00082235">
      <w:pPr>
        <w:numPr>
          <w:ilvl w:val="0"/>
          <w:numId w:val="2"/>
        </w:numPr>
        <w:spacing w:after="60" w:line="240" w:lineRule="auto"/>
        <w:ind w:left="499" w:right="-7" w:hanging="255"/>
        <w:rPr>
          <w:rFonts w:ascii="Times New Roman" w:hAnsi="Times New Roman" w:cs="Times New Roman"/>
        </w:rPr>
      </w:pPr>
      <w:r w:rsidRPr="00FF2FE7">
        <w:rPr>
          <w:rFonts w:ascii="Times New Roman" w:hAnsi="Times New Roman" w:cs="Times New Roman"/>
        </w:rPr>
        <w:t>NYMEX Gasoline Futures</w:t>
      </w:r>
    </w:p>
    <w:p w14:paraId="623C01E8" w14:textId="0D9B36FD" w:rsidR="00B92949" w:rsidRPr="00FF2FE7" w:rsidRDefault="00082235" w:rsidP="00082235">
      <w:pPr>
        <w:numPr>
          <w:ilvl w:val="1"/>
          <w:numId w:val="2"/>
        </w:numPr>
        <w:spacing w:after="60" w:line="240" w:lineRule="auto"/>
        <w:ind w:hanging="199"/>
        <w:rPr>
          <w:rFonts w:ascii="Times New Roman" w:hAnsi="Times New Roman" w:cs="Times New Roman"/>
        </w:rPr>
      </w:pPr>
      <w:r w:rsidRPr="00FF2FE7">
        <w:rPr>
          <w:rFonts w:ascii="Times New Roman" w:hAnsi="Times New Roman" w:cs="Times New Roman"/>
        </w:rPr>
        <w:t>National level</w:t>
      </w:r>
    </w:p>
    <w:p w14:paraId="3321FF2B" w14:textId="77777777" w:rsidR="00B92949" w:rsidRPr="00FF2FE7" w:rsidRDefault="00000000" w:rsidP="00082235">
      <w:pPr>
        <w:numPr>
          <w:ilvl w:val="0"/>
          <w:numId w:val="2"/>
        </w:numPr>
        <w:spacing w:after="60" w:line="240" w:lineRule="auto"/>
        <w:ind w:left="499" w:right="-7" w:hanging="255"/>
        <w:rPr>
          <w:rFonts w:ascii="Times New Roman" w:hAnsi="Times New Roman" w:cs="Times New Roman"/>
        </w:rPr>
      </w:pPr>
      <w:r w:rsidRPr="00FF2FE7">
        <w:rPr>
          <w:rFonts w:ascii="Times New Roman" w:hAnsi="Times New Roman" w:cs="Times New Roman"/>
        </w:rPr>
        <w:t>Spot Prices</w:t>
      </w:r>
    </w:p>
    <w:p w14:paraId="3A46DEF3" w14:textId="1256B64F" w:rsidR="00B92949" w:rsidRPr="00FF2FE7" w:rsidRDefault="00000000" w:rsidP="00082235">
      <w:pPr>
        <w:numPr>
          <w:ilvl w:val="1"/>
          <w:numId w:val="2"/>
        </w:numPr>
        <w:spacing w:after="60" w:line="240" w:lineRule="auto"/>
        <w:ind w:hanging="199"/>
        <w:rPr>
          <w:rFonts w:ascii="Times New Roman" w:hAnsi="Times New Roman" w:cs="Times New Roman"/>
        </w:rPr>
      </w:pPr>
      <w:r w:rsidRPr="00FF2FE7">
        <w:rPr>
          <w:rFonts w:ascii="Times New Roman" w:hAnsi="Times New Roman" w:cs="Times New Roman"/>
        </w:rPr>
        <w:t>Spot Market</w:t>
      </w:r>
      <w:r w:rsidR="00082235" w:rsidRPr="00FF2FE7">
        <w:rPr>
          <w:rFonts w:ascii="Times New Roman" w:hAnsi="Times New Roman" w:cs="Times New Roman"/>
        </w:rPr>
        <w:t xml:space="preserve"> </w:t>
      </w:r>
      <w:r w:rsidRPr="00FF2FE7">
        <w:rPr>
          <w:rFonts w:ascii="Times New Roman" w:hAnsi="Times New Roman" w:cs="Times New Roman"/>
        </w:rPr>
        <w:t>level: California has 2 spot markets: Los Angeles and San Francisco</w:t>
      </w:r>
    </w:p>
    <w:p w14:paraId="4BE3F14F" w14:textId="77777777" w:rsidR="00B92949" w:rsidRPr="00FF2FE7" w:rsidRDefault="00000000" w:rsidP="00082235">
      <w:pPr>
        <w:numPr>
          <w:ilvl w:val="1"/>
          <w:numId w:val="2"/>
        </w:numPr>
        <w:spacing w:after="60" w:line="240" w:lineRule="auto"/>
        <w:ind w:hanging="199"/>
        <w:rPr>
          <w:rFonts w:ascii="Times New Roman" w:hAnsi="Times New Roman" w:cs="Times New Roman"/>
        </w:rPr>
      </w:pPr>
      <w:r w:rsidRPr="00FF2FE7">
        <w:rPr>
          <w:rFonts w:ascii="Times New Roman" w:hAnsi="Times New Roman" w:cs="Times New Roman"/>
        </w:rPr>
        <w:t>Spot prices don’t have to publicly reported, so data on San Francisco, the less significant spot market of the two, is sparse and not as reliable. Thus, for this analysis, I focus on Los Angeles spot prices</w:t>
      </w:r>
    </w:p>
    <w:p w14:paraId="7EA9A692" w14:textId="77777777" w:rsidR="004F0CB3" w:rsidRPr="00FF2FE7" w:rsidRDefault="00000000" w:rsidP="00082235">
      <w:pPr>
        <w:numPr>
          <w:ilvl w:val="0"/>
          <w:numId w:val="2"/>
        </w:numPr>
        <w:spacing w:after="60" w:line="240" w:lineRule="auto"/>
        <w:ind w:left="499" w:right="-7" w:hanging="255"/>
        <w:rPr>
          <w:rFonts w:ascii="Times New Roman" w:hAnsi="Times New Roman" w:cs="Times New Roman"/>
        </w:rPr>
      </w:pPr>
      <w:r w:rsidRPr="00FF2FE7">
        <w:rPr>
          <w:rFonts w:ascii="Times New Roman" w:hAnsi="Times New Roman" w:cs="Times New Roman"/>
        </w:rPr>
        <w:t>Rack prices</w:t>
      </w:r>
    </w:p>
    <w:p w14:paraId="02AD4629" w14:textId="67766750" w:rsidR="00B92949" w:rsidRPr="00FF2FE7" w:rsidRDefault="00000000" w:rsidP="00082235">
      <w:pPr>
        <w:pStyle w:val="ListParagraph"/>
        <w:numPr>
          <w:ilvl w:val="0"/>
          <w:numId w:val="5"/>
        </w:numPr>
        <w:spacing w:after="60" w:line="240" w:lineRule="auto"/>
        <w:ind w:right="-7"/>
        <w:rPr>
          <w:rFonts w:ascii="Times New Roman" w:hAnsi="Times New Roman" w:cs="Times New Roman"/>
        </w:rPr>
      </w:pPr>
      <w:r w:rsidRPr="00FF2FE7">
        <w:rPr>
          <w:rFonts w:ascii="Times New Roman" w:hAnsi="Times New Roman" w:cs="Times New Roman"/>
        </w:rPr>
        <w:t>These are located at distribution points between retail gasoline stations and spot markets. There are 12 rack fuel locations in CA, with varying degrees of importance</w:t>
      </w:r>
    </w:p>
    <w:p w14:paraId="0FF8582F" w14:textId="77777777" w:rsidR="00314AB6" w:rsidRPr="00FF2FE7" w:rsidRDefault="00000000" w:rsidP="00082235">
      <w:pPr>
        <w:numPr>
          <w:ilvl w:val="0"/>
          <w:numId w:val="2"/>
        </w:numPr>
        <w:spacing w:after="60" w:line="240" w:lineRule="auto"/>
        <w:ind w:left="499" w:right="-7" w:hanging="255"/>
        <w:rPr>
          <w:rFonts w:ascii="Times New Roman" w:hAnsi="Times New Roman" w:cs="Times New Roman"/>
        </w:rPr>
      </w:pPr>
      <w:r w:rsidRPr="00FF2FE7">
        <w:rPr>
          <w:rFonts w:ascii="Times New Roman" w:hAnsi="Times New Roman" w:cs="Times New Roman"/>
        </w:rPr>
        <w:t>Retail gasoline prices</w:t>
      </w:r>
    </w:p>
    <w:p w14:paraId="4C6939EF" w14:textId="28DBB696" w:rsidR="00B92949" w:rsidRPr="00FF2FE7" w:rsidRDefault="00000000" w:rsidP="00082235">
      <w:pPr>
        <w:pStyle w:val="ListParagraph"/>
        <w:numPr>
          <w:ilvl w:val="0"/>
          <w:numId w:val="5"/>
        </w:numPr>
        <w:spacing w:after="60" w:line="240" w:lineRule="auto"/>
        <w:ind w:right="-7"/>
        <w:rPr>
          <w:rFonts w:ascii="Times New Roman" w:hAnsi="Times New Roman" w:cs="Times New Roman"/>
        </w:rPr>
      </w:pPr>
      <w:r w:rsidRPr="00FF2FE7">
        <w:rPr>
          <w:rFonts w:ascii="Times New Roman" w:hAnsi="Times New Roman" w:cs="Times New Roman"/>
        </w:rPr>
        <w:t>These vary gas-station-to-gas-station and are ‘composed’ of all prices from earlier in the supply chain</w:t>
      </w:r>
    </w:p>
    <w:p w14:paraId="7BE051A7" w14:textId="77777777" w:rsidR="00B92949" w:rsidRPr="00FF2FE7" w:rsidRDefault="00000000">
      <w:pPr>
        <w:pStyle w:val="Heading2"/>
        <w:spacing w:after="75"/>
        <w:ind w:left="598" w:hanging="613"/>
        <w:rPr>
          <w:rFonts w:ascii="Times New Roman" w:hAnsi="Times New Roman" w:cs="Times New Roman"/>
        </w:rPr>
      </w:pPr>
      <w:r w:rsidRPr="00FF2FE7">
        <w:rPr>
          <w:rFonts w:ascii="Times New Roman" w:hAnsi="Times New Roman" w:cs="Times New Roman"/>
        </w:rPr>
        <w:lastRenderedPageBreak/>
        <w:t>Spot-Gasoline Futures Differential</w:t>
      </w:r>
    </w:p>
    <w:p w14:paraId="67A95D9D" w14:textId="203505A4" w:rsidR="00B92949" w:rsidRPr="00FF2FE7" w:rsidRDefault="00000000">
      <w:pPr>
        <w:spacing w:after="0" w:line="250" w:lineRule="auto"/>
        <w:ind w:left="-5" w:right="-15"/>
        <w:jc w:val="both"/>
        <w:rPr>
          <w:rFonts w:ascii="Times New Roman" w:hAnsi="Times New Roman" w:cs="Times New Roman"/>
        </w:rPr>
      </w:pPr>
      <w:r w:rsidRPr="00FF2FE7">
        <w:rPr>
          <w:rFonts w:ascii="Times New Roman" w:hAnsi="Times New Roman" w:cs="Times New Roman"/>
        </w:rPr>
        <w:t xml:space="preserve">First, we can compare Los Angeles spot prices to the rest of the </w:t>
      </w:r>
      <w:r w:rsidR="00082235" w:rsidRPr="00FF2FE7">
        <w:rPr>
          <w:rFonts w:ascii="Times New Roman" w:hAnsi="Times New Roman" w:cs="Times New Roman"/>
        </w:rPr>
        <w:t>country;</w:t>
      </w:r>
      <w:r w:rsidRPr="00FF2FE7">
        <w:rPr>
          <w:rFonts w:ascii="Times New Roman" w:hAnsi="Times New Roman" w:cs="Times New Roman"/>
        </w:rPr>
        <w:t xml:space="preserve"> by analyzing the difference between the Los Angeles and NY Harbor/US Gulf Coast spot prices (I take the average of the NY Harbor and Gulf Coast Spot Prices).</w:t>
      </w:r>
    </w:p>
    <w:p w14:paraId="67794A17"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52114729" wp14:editId="7BE3C8E8">
            <wp:extent cx="5029200" cy="301752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5029200" cy="3017520"/>
                    </a:xfrm>
                    <a:prstGeom prst="rect">
                      <a:avLst/>
                    </a:prstGeom>
                  </pic:spPr>
                </pic:pic>
              </a:graphicData>
            </a:graphic>
          </wp:inline>
        </w:drawing>
      </w:r>
    </w:p>
    <w:p w14:paraId="331C5070" w14:textId="2C2783B9" w:rsidR="00B92949" w:rsidRPr="00FF2FE7" w:rsidRDefault="00000000">
      <w:pPr>
        <w:spacing w:after="0"/>
        <w:ind w:left="-5"/>
        <w:rPr>
          <w:rFonts w:ascii="Times New Roman" w:hAnsi="Times New Roman" w:cs="Times New Roman"/>
        </w:rPr>
      </w:pPr>
      <w:r w:rsidRPr="00FF2FE7">
        <w:rPr>
          <w:rFonts w:ascii="Times New Roman" w:hAnsi="Times New Roman" w:cs="Times New Roman"/>
        </w:rPr>
        <w:t xml:space="preserve">LA Spot Prices are consistently higher than the rest of the country. This makes sense: most refiners and drillers </w:t>
      </w:r>
      <w:r w:rsidR="00082235" w:rsidRPr="00FF2FE7">
        <w:rPr>
          <w:rFonts w:ascii="Times New Roman" w:hAnsi="Times New Roman" w:cs="Times New Roman"/>
        </w:rPr>
        <w:t>are in</w:t>
      </w:r>
      <w:r w:rsidRPr="00FF2FE7">
        <w:rPr>
          <w:rFonts w:ascii="Times New Roman" w:hAnsi="Times New Roman" w:cs="Times New Roman"/>
        </w:rPr>
        <w:t xml:space="preserve"> the Gulf Coast and there is a pipeline connecting the Gulf Coast to Linden, NJ (near NY Harbor, the Colonial Pipeline). On the other hand, the only way for gas to make its way to California from the Gulf Coast is on ships that are subject to the Jones Act, significantly raising costs in the absence of a direct pipeline connection.</w:t>
      </w:r>
    </w:p>
    <w:p w14:paraId="6046AABB" w14:textId="295BBB1A" w:rsidR="00B92949" w:rsidRPr="00FF2FE7" w:rsidRDefault="00000000">
      <w:pPr>
        <w:spacing w:after="343" w:line="250" w:lineRule="auto"/>
        <w:ind w:left="-5" w:right="-15"/>
        <w:jc w:val="both"/>
        <w:rPr>
          <w:rFonts w:ascii="Times New Roman" w:hAnsi="Times New Roman" w:cs="Times New Roman"/>
        </w:rPr>
      </w:pPr>
      <w:r w:rsidRPr="00FF2FE7">
        <w:rPr>
          <w:rFonts w:ascii="Times New Roman" w:hAnsi="Times New Roman" w:cs="Times New Roman"/>
        </w:rPr>
        <w:t xml:space="preserve">Also, the spot price differential has little to do with the MGS; the MGS spiked when the spot difference did, due to a short-term fluctuation in supply associated with the Torrance Refinery Fire. However, the spot price came down </w:t>
      </w:r>
      <w:r w:rsidR="002A3BC2" w:rsidRPr="00FF2FE7">
        <w:rPr>
          <w:rFonts w:ascii="Times New Roman" w:hAnsi="Times New Roman" w:cs="Times New Roman"/>
        </w:rPr>
        <w:t>to</w:t>
      </w:r>
      <w:r w:rsidRPr="00FF2FE7">
        <w:rPr>
          <w:rFonts w:ascii="Times New Roman" w:hAnsi="Times New Roman" w:cs="Times New Roman"/>
        </w:rPr>
        <w:t xml:space="preserve"> pre-Torrance levels while the MGS remained elevated and persistent, even increasing.</w:t>
      </w:r>
    </w:p>
    <w:p w14:paraId="1210C42B" w14:textId="77777777" w:rsidR="00B92949" w:rsidRPr="00FF2FE7" w:rsidRDefault="00000000">
      <w:pPr>
        <w:pStyle w:val="Heading2"/>
        <w:spacing w:after="75"/>
        <w:ind w:left="598" w:hanging="613"/>
        <w:rPr>
          <w:rFonts w:ascii="Times New Roman" w:hAnsi="Times New Roman" w:cs="Times New Roman"/>
        </w:rPr>
      </w:pPr>
      <w:r w:rsidRPr="00FF2FE7">
        <w:rPr>
          <w:rFonts w:ascii="Times New Roman" w:hAnsi="Times New Roman" w:cs="Times New Roman"/>
        </w:rPr>
        <w:t>Rack-Spot Differential</w:t>
      </w:r>
    </w:p>
    <w:p w14:paraId="28425F3E" w14:textId="7479FDAE" w:rsidR="00B92949" w:rsidRPr="00FF2FE7" w:rsidRDefault="00000000">
      <w:pPr>
        <w:ind w:left="-5"/>
        <w:rPr>
          <w:rFonts w:ascii="Times New Roman" w:hAnsi="Times New Roman" w:cs="Times New Roman"/>
        </w:rPr>
      </w:pPr>
      <w:r w:rsidRPr="00FF2FE7">
        <w:rPr>
          <w:rFonts w:ascii="Times New Roman" w:hAnsi="Times New Roman" w:cs="Times New Roman"/>
        </w:rPr>
        <w:t>The next step in the distributional chain are rack prices. These are the prices that distributors charge at ‘rack fuel locations’, where gasoline purchased at the spot market</w:t>
      </w:r>
      <w:r w:rsidR="00F244D7" w:rsidRPr="00FF2FE7">
        <w:rPr>
          <w:rFonts w:ascii="Times New Roman" w:hAnsi="Times New Roman" w:cs="Times New Roman"/>
        </w:rPr>
        <w:t>—</w:t>
      </w:r>
      <w:r w:rsidRPr="00FF2FE7">
        <w:rPr>
          <w:rFonts w:ascii="Times New Roman" w:hAnsi="Times New Roman" w:cs="Times New Roman"/>
        </w:rPr>
        <w:t xml:space="preserve">either San </w:t>
      </w:r>
      <w:r w:rsidR="00F244D7" w:rsidRPr="00FF2FE7">
        <w:rPr>
          <w:rFonts w:ascii="Times New Roman" w:hAnsi="Times New Roman" w:cs="Times New Roman"/>
        </w:rPr>
        <w:t>Francisco</w:t>
      </w:r>
      <w:r w:rsidRPr="00FF2FE7">
        <w:rPr>
          <w:rFonts w:ascii="Times New Roman" w:hAnsi="Times New Roman" w:cs="Times New Roman"/>
        </w:rPr>
        <w:t xml:space="preserve"> or Los Angeles</w:t>
      </w:r>
      <w:r w:rsidR="00F244D7" w:rsidRPr="00FF2FE7">
        <w:rPr>
          <w:rFonts w:ascii="Times New Roman" w:hAnsi="Times New Roman" w:cs="Times New Roman"/>
        </w:rPr>
        <w:t>—i</w:t>
      </w:r>
      <w:r w:rsidRPr="00FF2FE7">
        <w:rPr>
          <w:rFonts w:ascii="Times New Roman" w:hAnsi="Times New Roman" w:cs="Times New Roman"/>
        </w:rPr>
        <w:t xml:space="preserve">s transported before being </w:t>
      </w:r>
      <w:r w:rsidR="00AA226E" w:rsidRPr="00FF2FE7">
        <w:rPr>
          <w:rFonts w:ascii="Times New Roman" w:hAnsi="Times New Roman" w:cs="Times New Roman"/>
        </w:rPr>
        <w:t>distributed</w:t>
      </w:r>
      <w:r w:rsidRPr="00FF2FE7">
        <w:rPr>
          <w:rFonts w:ascii="Times New Roman" w:hAnsi="Times New Roman" w:cs="Times New Roman"/>
        </w:rPr>
        <w:t xml:space="preserve"> to</w:t>
      </w:r>
      <w:r w:rsidR="00AA226E" w:rsidRPr="00FF2FE7">
        <w:rPr>
          <w:rFonts w:ascii="Times New Roman" w:hAnsi="Times New Roman" w:cs="Times New Roman"/>
        </w:rPr>
        <w:t xml:space="preserve"> retail</w:t>
      </w:r>
      <w:r w:rsidRPr="00FF2FE7">
        <w:rPr>
          <w:rFonts w:ascii="Times New Roman" w:hAnsi="Times New Roman" w:cs="Times New Roman"/>
        </w:rPr>
        <w:t xml:space="preserve"> gasoline stations. Whereas spot prices are publicly available for free, rack prices are not.</w:t>
      </w:r>
      <w:r w:rsidRPr="00FF2FE7">
        <w:rPr>
          <w:rFonts w:ascii="Times New Roman" w:hAnsi="Times New Roman" w:cs="Times New Roman"/>
          <w:vertAlign w:val="superscript"/>
        </w:rPr>
        <w:footnoteReference w:id="1"/>
      </w:r>
    </w:p>
    <w:p w14:paraId="154C9B27"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lastRenderedPageBreak/>
        <w:drawing>
          <wp:inline distT="0" distB="0" distL="0" distR="0" wp14:anchorId="6C9F6464" wp14:editId="39DB30C3">
            <wp:extent cx="5029365" cy="2514682"/>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5029365" cy="2514682"/>
                    </a:xfrm>
                    <a:prstGeom prst="rect">
                      <a:avLst/>
                    </a:prstGeom>
                  </pic:spPr>
                </pic:pic>
              </a:graphicData>
            </a:graphic>
          </wp:inline>
        </w:drawing>
      </w:r>
    </w:p>
    <w:p w14:paraId="36E8E18A" w14:textId="5D019095" w:rsidR="00B92949" w:rsidRPr="00FF2FE7" w:rsidRDefault="00000000">
      <w:pPr>
        <w:spacing w:after="337"/>
        <w:ind w:left="-5"/>
        <w:rPr>
          <w:rFonts w:ascii="Times New Roman" w:hAnsi="Times New Roman" w:cs="Times New Roman"/>
        </w:rPr>
      </w:pPr>
      <w:r w:rsidRPr="00FF2FE7">
        <w:rPr>
          <w:rFonts w:ascii="Times New Roman" w:hAnsi="Times New Roman" w:cs="Times New Roman"/>
        </w:rPr>
        <w:t xml:space="preserve">There’s a high degree of correlation here, as the rack price spreads for each city spiked at nearly the same time as Torrance Refinery Fire and have remained elevated ever since. This would suggest that </w:t>
      </w:r>
      <w:r w:rsidR="002E3BA3" w:rsidRPr="00FF2FE7">
        <w:rPr>
          <w:rFonts w:ascii="Times New Roman" w:hAnsi="Times New Roman" w:cs="Times New Roman"/>
        </w:rPr>
        <w:t>the MGS is being ‘generated’ before reaching the retail gas station</w:t>
      </w:r>
      <w:r w:rsidRPr="00FF2FE7">
        <w:rPr>
          <w:rFonts w:ascii="Times New Roman" w:hAnsi="Times New Roman" w:cs="Times New Roman"/>
        </w:rPr>
        <w:t>.</w:t>
      </w:r>
    </w:p>
    <w:p w14:paraId="1F2131B8" w14:textId="77777777" w:rsidR="00B92949" w:rsidRPr="00FF2FE7" w:rsidRDefault="00000000">
      <w:pPr>
        <w:pStyle w:val="Heading2"/>
        <w:spacing w:after="69"/>
        <w:ind w:left="598" w:hanging="613"/>
        <w:rPr>
          <w:rFonts w:ascii="Times New Roman" w:hAnsi="Times New Roman" w:cs="Times New Roman"/>
        </w:rPr>
      </w:pPr>
      <w:r w:rsidRPr="00FF2FE7">
        <w:rPr>
          <w:rFonts w:ascii="Times New Roman" w:hAnsi="Times New Roman" w:cs="Times New Roman"/>
        </w:rPr>
        <w:t>Retail-Rack Differential</w:t>
      </w:r>
    </w:p>
    <w:p w14:paraId="577D175D" w14:textId="77777777" w:rsidR="00B92949" w:rsidRPr="00FF2FE7" w:rsidRDefault="00000000">
      <w:pPr>
        <w:spacing w:after="5"/>
        <w:ind w:left="-5"/>
        <w:rPr>
          <w:rFonts w:ascii="Times New Roman" w:hAnsi="Times New Roman" w:cs="Times New Roman"/>
        </w:rPr>
      </w:pPr>
      <w:r w:rsidRPr="00FF2FE7">
        <w:rPr>
          <w:rFonts w:ascii="Times New Roman" w:hAnsi="Times New Roman" w:cs="Times New Roman"/>
        </w:rPr>
        <w:t>The next step is to compare rack with retail prices over time.</w:t>
      </w:r>
      <w:r w:rsidRPr="00FF2FE7">
        <w:rPr>
          <w:rFonts w:ascii="Times New Roman" w:hAnsi="Times New Roman" w:cs="Times New Roman"/>
          <w:vertAlign w:val="superscript"/>
        </w:rPr>
        <w:footnoteReference w:id="2"/>
      </w:r>
    </w:p>
    <w:p w14:paraId="74F63B79"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28EA79FD" wp14:editId="4656ADE2">
            <wp:extent cx="5029365" cy="2514682"/>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9"/>
                    <a:stretch>
                      <a:fillRect/>
                    </a:stretch>
                  </pic:blipFill>
                  <pic:spPr>
                    <a:xfrm>
                      <a:off x="0" y="0"/>
                      <a:ext cx="5029365" cy="2514682"/>
                    </a:xfrm>
                    <a:prstGeom prst="rect">
                      <a:avLst/>
                    </a:prstGeom>
                  </pic:spPr>
                </pic:pic>
              </a:graphicData>
            </a:graphic>
          </wp:inline>
        </w:drawing>
      </w:r>
    </w:p>
    <w:p w14:paraId="2554985B" w14:textId="28468B66" w:rsidR="00B92949" w:rsidRPr="00FF2FE7" w:rsidRDefault="00000000">
      <w:pPr>
        <w:spacing w:after="447"/>
        <w:ind w:left="-5"/>
        <w:rPr>
          <w:rFonts w:ascii="Times New Roman" w:hAnsi="Times New Roman" w:cs="Times New Roman"/>
        </w:rPr>
      </w:pPr>
      <w:r w:rsidRPr="00FF2FE7">
        <w:rPr>
          <w:rFonts w:ascii="Times New Roman" w:hAnsi="Times New Roman" w:cs="Times New Roman"/>
        </w:rPr>
        <w:t xml:space="preserve">Retail prices have remained elevated above rack prices at a </w:t>
      </w:r>
      <w:r w:rsidR="00FF2FE7" w:rsidRPr="00FF2FE7">
        <w:rPr>
          <w:rFonts w:ascii="Times New Roman" w:hAnsi="Times New Roman" w:cs="Times New Roman"/>
        </w:rPr>
        <w:t>consistent</w:t>
      </w:r>
      <w:r w:rsidRPr="00FF2FE7">
        <w:rPr>
          <w:rFonts w:ascii="Times New Roman" w:hAnsi="Times New Roman" w:cs="Times New Roman"/>
        </w:rPr>
        <w:t xml:space="preserve"> margin, and the pattern in this differential did not seem to change after the Torrance Refinery Fire.</w:t>
      </w:r>
    </w:p>
    <w:p w14:paraId="3965973A" w14:textId="77777777" w:rsidR="00B92949" w:rsidRPr="00FF2FE7" w:rsidRDefault="00000000">
      <w:pPr>
        <w:pStyle w:val="Heading1"/>
        <w:ind w:left="469" w:hanging="484"/>
        <w:rPr>
          <w:rFonts w:ascii="Times New Roman" w:hAnsi="Times New Roman" w:cs="Times New Roman"/>
        </w:rPr>
      </w:pPr>
      <w:r w:rsidRPr="00FF2FE7">
        <w:rPr>
          <w:rFonts w:ascii="Times New Roman" w:hAnsi="Times New Roman" w:cs="Times New Roman"/>
        </w:rPr>
        <w:t>Detailed City-by-City Analysis of Rack Prices</w:t>
      </w:r>
    </w:p>
    <w:p w14:paraId="09676071" w14:textId="6A2B8406" w:rsidR="00B92949" w:rsidRPr="00FF2FE7" w:rsidRDefault="00000000">
      <w:pPr>
        <w:spacing w:after="133"/>
        <w:ind w:left="-5"/>
        <w:rPr>
          <w:rFonts w:ascii="Times New Roman" w:hAnsi="Times New Roman" w:cs="Times New Roman"/>
        </w:rPr>
      </w:pPr>
      <w:r w:rsidRPr="00FF2FE7">
        <w:rPr>
          <w:rFonts w:ascii="Times New Roman" w:hAnsi="Times New Roman" w:cs="Times New Roman"/>
        </w:rPr>
        <w:t xml:space="preserve">Bloomberg provides very granular data on rack prices by rack fuel location, with different prices by: 1) refiner, 2) whether gasoline is branded/unbranded, 3) location of refiner (these are usually cities very close to the rack fuel </w:t>
      </w:r>
      <w:r w:rsidRPr="00FF2FE7">
        <w:rPr>
          <w:rFonts w:ascii="Times New Roman" w:hAnsi="Times New Roman" w:cs="Times New Roman"/>
        </w:rPr>
        <w:lastRenderedPageBreak/>
        <w:t>location itself if not the city itself), and 4) which company is distributing the gasoline after it is refined.</w:t>
      </w:r>
      <w:r w:rsidRPr="00FF2FE7">
        <w:rPr>
          <w:rFonts w:ascii="Times New Roman" w:hAnsi="Times New Roman" w:cs="Times New Roman"/>
          <w:vertAlign w:val="superscript"/>
        </w:rPr>
        <w:footnoteReference w:id="3"/>
      </w:r>
      <w:r w:rsidRPr="00FF2FE7">
        <w:rPr>
          <w:rFonts w:ascii="Times New Roman" w:hAnsi="Times New Roman" w:cs="Times New Roman"/>
          <w:vertAlign w:val="superscript"/>
        </w:rPr>
        <w:t xml:space="preserve"> </w:t>
      </w:r>
      <w:r w:rsidRPr="00FF2FE7">
        <w:rPr>
          <w:rFonts w:ascii="Times New Roman" w:hAnsi="Times New Roman" w:cs="Times New Roman"/>
        </w:rPr>
        <w:t>Below I have plotted the real rack price spreads for each of these granular variables: this is calculated as the ((granular rack price</w:t>
      </w:r>
      <w:r w:rsidR="00FF2FE7">
        <w:rPr>
          <w:rFonts w:ascii="Times New Roman" w:hAnsi="Times New Roman" w:cs="Times New Roman"/>
        </w:rPr>
        <w:t xml:space="preserve"> for the given terminal</w:t>
      </w:r>
      <w:r w:rsidRPr="00FF2FE7">
        <w:rPr>
          <w:rFonts w:ascii="Times New Roman" w:hAnsi="Times New Roman" w:cs="Times New Roman"/>
        </w:rPr>
        <w:t>) - (overall rack price index</w:t>
      </w:r>
      <w:r w:rsidR="00FF2FE7">
        <w:rPr>
          <w:rFonts w:ascii="Times New Roman" w:hAnsi="Times New Roman" w:cs="Times New Roman"/>
        </w:rPr>
        <w:t xml:space="preserve"> for the given terminal</w:t>
      </w:r>
      <w:r w:rsidRPr="00FF2FE7">
        <w:rPr>
          <w:rFonts w:ascii="Times New Roman" w:hAnsi="Times New Roman" w:cs="Times New Roman"/>
        </w:rPr>
        <w:t>))/(price deflator). The rack fuel locations</w:t>
      </w:r>
      <w:r w:rsidR="00CA282F">
        <w:rPr>
          <w:rFonts w:ascii="Times New Roman" w:hAnsi="Times New Roman" w:cs="Times New Roman"/>
        </w:rPr>
        <w:t xml:space="preserve"> (with</w:t>
      </w:r>
      <w:r w:rsidR="00FF2FE7">
        <w:rPr>
          <w:rFonts w:ascii="Times New Roman" w:hAnsi="Times New Roman" w:cs="Times New Roman"/>
        </w:rPr>
        <w:t xml:space="preserve"> their respective populations</w:t>
      </w:r>
      <w:r w:rsidR="00CA282F">
        <w:rPr>
          <w:rFonts w:ascii="Times New Roman" w:hAnsi="Times New Roman" w:cs="Times New Roman"/>
        </w:rPr>
        <w:t>)</w:t>
      </w:r>
      <w:r w:rsidRPr="00FF2FE7">
        <w:rPr>
          <w:rFonts w:ascii="Times New Roman" w:hAnsi="Times New Roman" w:cs="Times New Roman"/>
        </w:rPr>
        <w:t xml:space="preserve"> included in this analysis are:</w:t>
      </w:r>
    </w:p>
    <w:p w14:paraId="5DEB96C1"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Los Angeles (pop. 3,822,000)</w:t>
      </w:r>
    </w:p>
    <w:p w14:paraId="320363CC"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San Diego (pop. 1,381,000</w:t>
      </w:r>
    </w:p>
    <w:p w14:paraId="47186259"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San Jose (pop.971,233)</w:t>
      </w:r>
    </w:p>
    <w:p w14:paraId="0D81D6FD"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San Francisco (pop. 808,437)</w:t>
      </w:r>
    </w:p>
    <w:p w14:paraId="4921558B"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Fresno (pop. 545,567)</w:t>
      </w:r>
    </w:p>
    <w:p w14:paraId="1EDB80BA"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Sacramento (pop. 528,001)</w:t>
      </w:r>
    </w:p>
    <w:p w14:paraId="65E62121"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Bakersfield (pop. 410,647)</w:t>
      </w:r>
    </w:p>
    <w:p w14:paraId="4891ECB8"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Stockton (pop. 321,819)</w:t>
      </w:r>
    </w:p>
    <w:p w14:paraId="213320BE"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Chico (pop. 101,299)</w:t>
      </w:r>
    </w:p>
    <w:p w14:paraId="417BE0F4"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Colton (pop. 53,918)</w:t>
      </w:r>
    </w:p>
    <w:p w14:paraId="4871D8DE" w14:textId="77777777" w:rsidR="00B92949" w:rsidRPr="00FF2FE7" w:rsidRDefault="00000000">
      <w:pPr>
        <w:numPr>
          <w:ilvl w:val="0"/>
          <w:numId w:val="3"/>
        </w:numPr>
        <w:ind w:hanging="199"/>
        <w:rPr>
          <w:rFonts w:ascii="Times New Roman" w:hAnsi="Times New Roman" w:cs="Times New Roman"/>
        </w:rPr>
      </w:pPr>
      <w:r w:rsidRPr="00FF2FE7">
        <w:rPr>
          <w:rFonts w:ascii="Times New Roman" w:hAnsi="Times New Roman" w:cs="Times New Roman"/>
        </w:rPr>
        <w:t>Barstow (pop. 25,231)</w:t>
      </w:r>
    </w:p>
    <w:p w14:paraId="52998986" w14:textId="77777777" w:rsidR="00B92949" w:rsidRPr="00FF2FE7" w:rsidRDefault="00000000">
      <w:pPr>
        <w:numPr>
          <w:ilvl w:val="0"/>
          <w:numId w:val="3"/>
        </w:numPr>
        <w:spacing w:after="338"/>
        <w:ind w:hanging="199"/>
        <w:rPr>
          <w:rFonts w:ascii="Times New Roman" w:hAnsi="Times New Roman" w:cs="Times New Roman"/>
        </w:rPr>
      </w:pPr>
      <w:r w:rsidRPr="00FF2FE7">
        <w:rPr>
          <w:rFonts w:ascii="Times New Roman" w:hAnsi="Times New Roman" w:cs="Times New Roman"/>
        </w:rPr>
        <w:t>Imperial (pop. 21,233)</w:t>
      </w:r>
    </w:p>
    <w:p w14:paraId="673DC174" w14:textId="77777777" w:rsidR="00B92949" w:rsidRPr="00FF2FE7" w:rsidRDefault="00000000">
      <w:pPr>
        <w:pStyle w:val="Heading2"/>
        <w:spacing w:after="69"/>
        <w:ind w:left="598" w:hanging="613"/>
        <w:rPr>
          <w:rFonts w:ascii="Times New Roman" w:hAnsi="Times New Roman" w:cs="Times New Roman"/>
        </w:rPr>
      </w:pPr>
      <w:r w:rsidRPr="00FF2FE7">
        <w:rPr>
          <w:rFonts w:ascii="Times New Roman" w:hAnsi="Times New Roman" w:cs="Times New Roman"/>
        </w:rPr>
        <w:t>Location of Refineries in California with Production</w:t>
      </w:r>
    </w:p>
    <w:p w14:paraId="47336EEF" w14:textId="77777777" w:rsidR="00B92949" w:rsidRPr="00FF2FE7" w:rsidRDefault="00000000">
      <w:pPr>
        <w:spacing w:after="5"/>
        <w:ind w:left="-5"/>
        <w:rPr>
          <w:rFonts w:ascii="Times New Roman" w:hAnsi="Times New Roman" w:cs="Times New Roman"/>
        </w:rPr>
      </w:pPr>
      <w:r w:rsidRPr="00FF2FE7">
        <w:rPr>
          <w:rFonts w:ascii="Times New Roman" w:hAnsi="Times New Roman" w:cs="Times New Roman"/>
        </w:rPr>
        <w:t>For context, here is a list of refiners in CA.</w:t>
      </w:r>
      <w:r w:rsidRPr="00FF2FE7">
        <w:rPr>
          <w:rFonts w:ascii="Times New Roman" w:hAnsi="Times New Roman" w:cs="Times New Roman"/>
          <w:vertAlign w:val="superscript"/>
        </w:rPr>
        <w:t>4</w:t>
      </w:r>
    </w:p>
    <w:tbl>
      <w:tblPr>
        <w:tblStyle w:val="TableGrid"/>
        <w:tblW w:w="9739" w:type="dxa"/>
        <w:tblInd w:w="4" w:type="dxa"/>
        <w:tblCellMar>
          <w:top w:w="33" w:type="dxa"/>
          <w:left w:w="124" w:type="dxa"/>
          <w:right w:w="115" w:type="dxa"/>
        </w:tblCellMar>
        <w:tblLook w:val="04A0" w:firstRow="1" w:lastRow="0" w:firstColumn="1" w:lastColumn="0" w:noHBand="0" w:noVBand="1"/>
      </w:tblPr>
      <w:tblGrid>
        <w:gridCol w:w="2514"/>
        <w:gridCol w:w="1948"/>
        <w:gridCol w:w="1948"/>
        <w:gridCol w:w="1948"/>
        <w:gridCol w:w="1381"/>
      </w:tblGrid>
      <w:tr w:rsidR="00B92949" w:rsidRPr="00FF2FE7" w14:paraId="6BA2B666" w14:textId="77777777" w:rsidTr="00704D64">
        <w:trPr>
          <w:trHeight w:val="860"/>
        </w:trPr>
        <w:tc>
          <w:tcPr>
            <w:tcW w:w="2515" w:type="dxa"/>
            <w:tcBorders>
              <w:top w:val="single" w:sz="3" w:space="0" w:color="000000"/>
              <w:left w:val="single" w:sz="3" w:space="0" w:color="000000"/>
              <w:bottom w:val="single" w:sz="3" w:space="0" w:color="000000"/>
              <w:right w:val="single" w:sz="3" w:space="0" w:color="000000"/>
            </w:tcBorders>
          </w:tcPr>
          <w:p w14:paraId="1B33A0F7"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b/>
              </w:rPr>
              <w:t>Refinery Name</w:t>
            </w:r>
          </w:p>
        </w:tc>
        <w:tc>
          <w:tcPr>
            <w:tcW w:w="1948" w:type="dxa"/>
            <w:tcBorders>
              <w:top w:val="single" w:sz="3" w:space="0" w:color="000000"/>
              <w:left w:val="single" w:sz="3" w:space="0" w:color="000000"/>
              <w:bottom w:val="single" w:sz="3" w:space="0" w:color="000000"/>
              <w:right w:val="single" w:sz="3" w:space="0" w:color="000000"/>
            </w:tcBorders>
          </w:tcPr>
          <w:p w14:paraId="26B2EAEA" w14:textId="77777777" w:rsidR="00B92949" w:rsidRPr="00FF2FE7" w:rsidRDefault="00000000">
            <w:pPr>
              <w:spacing w:after="0" w:line="259" w:lineRule="auto"/>
              <w:ind w:left="26" w:firstLine="0"/>
              <w:rPr>
                <w:rFonts w:ascii="Times New Roman" w:hAnsi="Times New Roman" w:cs="Times New Roman"/>
              </w:rPr>
            </w:pPr>
            <w:r w:rsidRPr="00FF2FE7">
              <w:rPr>
                <w:rFonts w:ascii="Times New Roman" w:hAnsi="Times New Roman" w:cs="Times New Roman"/>
                <w:b/>
              </w:rPr>
              <w:t>Associated Rack</w:t>
            </w:r>
          </w:p>
          <w:p w14:paraId="38EADBEA"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b/>
              </w:rPr>
              <w:t>Location</w:t>
            </w:r>
          </w:p>
        </w:tc>
        <w:tc>
          <w:tcPr>
            <w:tcW w:w="1948" w:type="dxa"/>
            <w:tcBorders>
              <w:top w:val="single" w:sz="3" w:space="0" w:color="000000"/>
              <w:left w:val="single" w:sz="3" w:space="0" w:color="000000"/>
              <w:bottom w:val="single" w:sz="3" w:space="0" w:color="000000"/>
              <w:right w:val="single" w:sz="3" w:space="0" w:color="000000"/>
            </w:tcBorders>
          </w:tcPr>
          <w:p w14:paraId="25036FBC" w14:textId="77777777" w:rsidR="00B92949" w:rsidRPr="00FF2FE7" w:rsidRDefault="00000000">
            <w:pPr>
              <w:spacing w:after="0" w:line="259" w:lineRule="auto"/>
              <w:ind w:left="36" w:firstLine="0"/>
              <w:rPr>
                <w:rFonts w:ascii="Times New Roman" w:hAnsi="Times New Roman" w:cs="Times New Roman"/>
              </w:rPr>
            </w:pPr>
            <w:r w:rsidRPr="00FF2FE7">
              <w:rPr>
                <w:rFonts w:ascii="Times New Roman" w:hAnsi="Times New Roman" w:cs="Times New Roman"/>
                <w:b/>
              </w:rPr>
              <w:t>Barrels Per Day</w:t>
            </w:r>
          </w:p>
        </w:tc>
        <w:tc>
          <w:tcPr>
            <w:tcW w:w="1948" w:type="dxa"/>
            <w:tcBorders>
              <w:top w:val="single" w:sz="3" w:space="0" w:color="000000"/>
              <w:left w:val="single" w:sz="3" w:space="0" w:color="000000"/>
              <w:bottom w:val="single" w:sz="3" w:space="0" w:color="000000"/>
              <w:right w:val="single" w:sz="3" w:space="0" w:color="000000"/>
            </w:tcBorders>
          </w:tcPr>
          <w:p w14:paraId="0FE23CF7" w14:textId="77777777" w:rsidR="00B92949" w:rsidRPr="00FF2FE7" w:rsidRDefault="00000000">
            <w:pPr>
              <w:spacing w:after="0" w:line="244" w:lineRule="auto"/>
              <w:ind w:left="0" w:firstLine="0"/>
              <w:jc w:val="center"/>
              <w:rPr>
                <w:rFonts w:ascii="Times New Roman" w:hAnsi="Times New Roman" w:cs="Times New Roman"/>
              </w:rPr>
            </w:pPr>
            <w:r w:rsidRPr="00FF2FE7">
              <w:rPr>
                <w:rFonts w:ascii="Times New Roman" w:hAnsi="Times New Roman" w:cs="Times New Roman"/>
                <w:b/>
              </w:rPr>
              <w:t>% of California Crude Oil</w:t>
            </w:r>
          </w:p>
          <w:p w14:paraId="75499603" w14:textId="77777777" w:rsidR="00B92949" w:rsidRPr="00FF2FE7" w:rsidRDefault="00000000">
            <w:pPr>
              <w:spacing w:after="0" w:line="259" w:lineRule="auto"/>
              <w:ind w:left="0" w:right="12" w:firstLine="0"/>
              <w:jc w:val="center"/>
              <w:rPr>
                <w:rFonts w:ascii="Times New Roman" w:hAnsi="Times New Roman" w:cs="Times New Roman"/>
              </w:rPr>
            </w:pPr>
            <w:r w:rsidRPr="00FF2FE7">
              <w:rPr>
                <w:rFonts w:ascii="Times New Roman" w:hAnsi="Times New Roman" w:cs="Times New Roman"/>
                <w:b/>
              </w:rPr>
              <w:t>Capacity</w:t>
            </w:r>
          </w:p>
        </w:tc>
        <w:tc>
          <w:tcPr>
            <w:tcW w:w="1381" w:type="dxa"/>
            <w:tcBorders>
              <w:top w:val="single" w:sz="3" w:space="0" w:color="000000"/>
              <w:left w:val="single" w:sz="3" w:space="0" w:color="000000"/>
              <w:bottom w:val="single" w:sz="3" w:space="0" w:color="000000"/>
              <w:right w:val="single" w:sz="3" w:space="0" w:color="000000"/>
            </w:tcBorders>
          </w:tcPr>
          <w:p w14:paraId="230CD978"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b/>
              </w:rPr>
              <w:t>CARB</w:t>
            </w:r>
          </w:p>
          <w:p w14:paraId="3EFF851E"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b/>
              </w:rPr>
              <w:t>Gasoline</w:t>
            </w:r>
          </w:p>
        </w:tc>
      </w:tr>
      <w:tr w:rsidR="00B92949" w:rsidRPr="00FF2FE7" w14:paraId="57F8C08D" w14:textId="77777777">
        <w:trPr>
          <w:trHeight w:val="725"/>
        </w:trPr>
        <w:tc>
          <w:tcPr>
            <w:tcW w:w="2515" w:type="dxa"/>
            <w:tcBorders>
              <w:top w:val="single" w:sz="3" w:space="0" w:color="000000"/>
              <w:left w:val="single" w:sz="3" w:space="0" w:color="000000"/>
              <w:bottom w:val="single" w:sz="3" w:space="0" w:color="000000"/>
              <w:right w:val="single" w:sz="3" w:space="0" w:color="000000"/>
            </w:tcBorders>
          </w:tcPr>
          <w:p w14:paraId="5C3C5379"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Marathon Petroleum</w:t>
            </w:r>
          </w:p>
          <w:p w14:paraId="115B42DE"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Corp., Los Angeles</w:t>
            </w:r>
          </w:p>
          <w:p w14:paraId="7521066D"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Refinery</w:t>
            </w:r>
          </w:p>
        </w:tc>
        <w:tc>
          <w:tcPr>
            <w:tcW w:w="1948" w:type="dxa"/>
            <w:tcBorders>
              <w:top w:val="single" w:sz="3" w:space="0" w:color="000000"/>
              <w:left w:val="single" w:sz="3" w:space="0" w:color="000000"/>
              <w:bottom w:val="single" w:sz="3" w:space="0" w:color="000000"/>
              <w:right w:val="single" w:sz="3" w:space="0" w:color="000000"/>
            </w:tcBorders>
          </w:tcPr>
          <w:p w14:paraId="0F008441"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Los Angeles</w:t>
            </w:r>
          </w:p>
        </w:tc>
        <w:tc>
          <w:tcPr>
            <w:tcW w:w="1948" w:type="dxa"/>
            <w:tcBorders>
              <w:top w:val="single" w:sz="3" w:space="0" w:color="000000"/>
              <w:left w:val="single" w:sz="3" w:space="0" w:color="000000"/>
              <w:bottom w:val="single" w:sz="3" w:space="0" w:color="000000"/>
              <w:right w:val="single" w:sz="3" w:space="0" w:color="000000"/>
            </w:tcBorders>
          </w:tcPr>
          <w:p w14:paraId="21DE6072"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363,000</w:t>
            </w:r>
          </w:p>
        </w:tc>
        <w:tc>
          <w:tcPr>
            <w:tcW w:w="1948" w:type="dxa"/>
            <w:tcBorders>
              <w:top w:val="single" w:sz="3" w:space="0" w:color="000000"/>
              <w:left w:val="single" w:sz="3" w:space="0" w:color="000000"/>
              <w:bottom w:val="single" w:sz="3" w:space="0" w:color="000000"/>
              <w:right w:val="single" w:sz="3" w:space="0" w:color="000000"/>
            </w:tcBorders>
          </w:tcPr>
          <w:p w14:paraId="6B26BD0B"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21.22%</w:t>
            </w:r>
          </w:p>
        </w:tc>
        <w:tc>
          <w:tcPr>
            <w:tcW w:w="1381" w:type="dxa"/>
            <w:tcBorders>
              <w:top w:val="single" w:sz="3" w:space="0" w:color="000000"/>
              <w:left w:val="single" w:sz="3" w:space="0" w:color="000000"/>
              <w:bottom w:val="single" w:sz="3" w:space="0" w:color="000000"/>
              <w:right w:val="single" w:sz="3" w:space="0" w:color="000000"/>
            </w:tcBorders>
          </w:tcPr>
          <w:p w14:paraId="482F41B6"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2804DC63"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7CFFCE77"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Chevron U.S.A. Inc., El</w:t>
            </w:r>
          </w:p>
          <w:p w14:paraId="7CA0A4FC"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Segundo Refinery</w:t>
            </w:r>
          </w:p>
        </w:tc>
        <w:tc>
          <w:tcPr>
            <w:tcW w:w="1948" w:type="dxa"/>
            <w:tcBorders>
              <w:top w:val="single" w:sz="3" w:space="0" w:color="000000"/>
              <w:left w:val="single" w:sz="3" w:space="0" w:color="000000"/>
              <w:bottom w:val="single" w:sz="3" w:space="0" w:color="000000"/>
              <w:right w:val="single" w:sz="3" w:space="0" w:color="000000"/>
            </w:tcBorders>
          </w:tcPr>
          <w:p w14:paraId="39E65E32"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Los Angeles</w:t>
            </w:r>
          </w:p>
        </w:tc>
        <w:tc>
          <w:tcPr>
            <w:tcW w:w="1948" w:type="dxa"/>
            <w:tcBorders>
              <w:top w:val="single" w:sz="3" w:space="0" w:color="000000"/>
              <w:left w:val="single" w:sz="3" w:space="0" w:color="000000"/>
              <w:bottom w:val="single" w:sz="3" w:space="0" w:color="000000"/>
              <w:right w:val="single" w:sz="3" w:space="0" w:color="000000"/>
            </w:tcBorders>
          </w:tcPr>
          <w:p w14:paraId="55B86760"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269,000</w:t>
            </w:r>
          </w:p>
        </w:tc>
        <w:tc>
          <w:tcPr>
            <w:tcW w:w="1948" w:type="dxa"/>
            <w:tcBorders>
              <w:top w:val="single" w:sz="3" w:space="0" w:color="000000"/>
              <w:left w:val="single" w:sz="3" w:space="0" w:color="000000"/>
              <w:bottom w:val="single" w:sz="3" w:space="0" w:color="000000"/>
              <w:right w:val="single" w:sz="3" w:space="0" w:color="000000"/>
            </w:tcBorders>
          </w:tcPr>
          <w:p w14:paraId="1E62A518"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15.73%</w:t>
            </w:r>
          </w:p>
        </w:tc>
        <w:tc>
          <w:tcPr>
            <w:tcW w:w="1381" w:type="dxa"/>
            <w:tcBorders>
              <w:top w:val="single" w:sz="3" w:space="0" w:color="000000"/>
              <w:left w:val="single" w:sz="3" w:space="0" w:color="000000"/>
              <w:bottom w:val="single" w:sz="3" w:space="0" w:color="000000"/>
              <w:right w:val="single" w:sz="3" w:space="0" w:color="000000"/>
            </w:tcBorders>
          </w:tcPr>
          <w:p w14:paraId="49644DAE"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6FA6B89A"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5D878313"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Chevron U.S.A. Inc.,</w:t>
            </w:r>
          </w:p>
          <w:p w14:paraId="32BC6A30"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Richmond Refinery</w:t>
            </w:r>
          </w:p>
        </w:tc>
        <w:tc>
          <w:tcPr>
            <w:tcW w:w="1948" w:type="dxa"/>
            <w:tcBorders>
              <w:top w:val="single" w:sz="3" w:space="0" w:color="000000"/>
              <w:left w:val="single" w:sz="3" w:space="0" w:color="000000"/>
              <w:bottom w:val="single" w:sz="3" w:space="0" w:color="000000"/>
              <w:right w:val="single" w:sz="3" w:space="0" w:color="000000"/>
            </w:tcBorders>
          </w:tcPr>
          <w:p w14:paraId="014277B4"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San Francisco</w:t>
            </w:r>
          </w:p>
        </w:tc>
        <w:tc>
          <w:tcPr>
            <w:tcW w:w="1948" w:type="dxa"/>
            <w:tcBorders>
              <w:top w:val="single" w:sz="3" w:space="0" w:color="000000"/>
              <w:left w:val="single" w:sz="3" w:space="0" w:color="000000"/>
              <w:bottom w:val="single" w:sz="3" w:space="0" w:color="000000"/>
              <w:right w:val="single" w:sz="3" w:space="0" w:color="000000"/>
            </w:tcBorders>
          </w:tcPr>
          <w:p w14:paraId="6DF6D3B5"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245,271</w:t>
            </w:r>
          </w:p>
        </w:tc>
        <w:tc>
          <w:tcPr>
            <w:tcW w:w="1948" w:type="dxa"/>
            <w:tcBorders>
              <w:top w:val="single" w:sz="3" w:space="0" w:color="000000"/>
              <w:left w:val="single" w:sz="3" w:space="0" w:color="000000"/>
              <w:bottom w:val="single" w:sz="3" w:space="0" w:color="000000"/>
              <w:right w:val="single" w:sz="3" w:space="0" w:color="000000"/>
            </w:tcBorders>
          </w:tcPr>
          <w:p w14:paraId="3124C41D"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14.34%</w:t>
            </w:r>
          </w:p>
        </w:tc>
        <w:tc>
          <w:tcPr>
            <w:tcW w:w="1381" w:type="dxa"/>
            <w:tcBorders>
              <w:top w:val="single" w:sz="3" w:space="0" w:color="000000"/>
              <w:left w:val="single" w:sz="3" w:space="0" w:color="000000"/>
              <w:bottom w:val="single" w:sz="3" w:space="0" w:color="000000"/>
              <w:right w:val="single" w:sz="3" w:space="0" w:color="000000"/>
            </w:tcBorders>
          </w:tcPr>
          <w:p w14:paraId="6A84470D"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59C73236"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6A04E7F3"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PBF Energy, Torrance</w:t>
            </w:r>
          </w:p>
          <w:p w14:paraId="594346CB"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Refinery</w:t>
            </w:r>
          </w:p>
        </w:tc>
        <w:tc>
          <w:tcPr>
            <w:tcW w:w="1948" w:type="dxa"/>
            <w:tcBorders>
              <w:top w:val="single" w:sz="3" w:space="0" w:color="000000"/>
              <w:left w:val="single" w:sz="3" w:space="0" w:color="000000"/>
              <w:bottom w:val="single" w:sz="3" w:space="0" w:color="000000"/>
              <w:right w:val="single" w:sz="3" w:space="0" w:color="000000"/>
            </w:tcBorders>
          </w:tcPr>
          <w:p w14:paraId="04FFBAB5"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Los Angeles</w:t>
            </w:r>
          </w:p>
        </w:tc>
        <w:tc>
          <w:tcPr>
            <w:tcW w:w="1948" w:type="dxa"/>
            <w:tcBorders>
              <w:top w:val="single" w:sz="3" w:space="0" w:color="000000"/>
              <w:left w:val="single" w:sz="3" w:space="0" w:color="000000"/>
              <w:bottom w:val="single" w:sz="3" w:space="0" w:color="000000"/>
              <w:right w:val="single" w:sz="3" w:space="0" w:color="000000"/>
            </w:tcBorders>
          </w:tcPr>
          <w:p w14:paraId="61AA66E0"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160,000</w:t>
            </w:r>
          </w:p>
        </w:tc>
        <w:tc>
          <w:tcPr>
            <w:tcW w:w="1948" w:type="dxa"/>
            <w:tcBorders>
              <w:top w:val="single" w:sz="3" w:space="0" w:color="000000"/>
              <w:left w:val="single" w:sz="3" w:space="0" w:color="000000"/>
              <w:bottom w:val="single" w:sz="3" w:space="0" w:color="000000"/>
              <w:right w:val="single" w:sz="3" w:space="0" w:color="000000"/>
            </w:tcBorders>
          </w:tcPr>
          <w:p w14:paraId="61399742"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9.35%</w:t>
            </w:r>
          </w:p>
        </w:tc>
        <w:tc>
          <w:tcPr>
            <w:tcW w:w="1381" w:type="dxa"/>
            <w:tcBorders>
              <w:top w:val="single" w:sz="3" w:space="0" w:color="000000"/>
              <w:left w:val="single" w:sz="3" w:space="0" w:color="000000"/>
              <w:bottom w:val="single" w:sz="3" w:space="0" w:color="000000"/>
              <w:right w:val="single" w:sz="3" w:space="0" w:color="000000"/>
            </w:tcBorders>
          </w:tcPr>
          <w:p w14:paraId="796CB0CA"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535BC75F"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49DE32FC"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PBF Energy, Martinez</w:t>
            </w:r>
          </w:p>
          <w:p w14:paraId="6C56C091"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Refinery</w:t>
            </w:r>
          </w:p>
        </w:tc>
        <w:tc>
          <w:tcPr>
            <w:tcW w:w="1948" w:type="dxa"/>
            <w:tcBorders>
              <w:top w:val="single" w:sz="3" w:space="0" w:color="000000"/>
              <w:left w:val="single" w:sz="3" w:space="0" w:color="000000"/>
              <w:bottom w:val="single" w:sz="3" w:space="0" w:color="000000"/>
              <w:right w:val="single" w:sz="3" w:space="0" w:color="000000"/>
            </w:tcBorders>
          </w:tcPr>
          <w:p w14:paraId="57265E67"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San Francisco</w:t>
            </w:r>
          </w:p>
        </w:tc>
        <w:tc>
          <w:tcPr>
            <w:tcW w:w="1948" w:type="dxa"/>
            <w:tcBorders>
              <w:top w:val="single" w:sz="3" w:space="0" w:color="000000"/>
              <w:left w:val="single" w:sz="3" w:space="0" w:color="000000"/>
              <w:bottom w:val="single" w:sz="3" w:space="0" w:color="000000"/>
              <w:right w:val="single" w:sz="3" w:space="0" w:color="000000"/>
            </w:tcBorders>
          </w:tcPr>
          <w:p w14:paraId="76008CA0"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156,400</w:t>
            </w:r>
          </w:p>
        </w:tc>
        <w:tc>
          <w:tcPr>
            <w:tcW w:w="1948" w:type="dxa"/>
            <w:tcBorders>
              <w:top w:val="single" w:sz="3" w:space="0" w:color="000000"/>
              <w:left w:val="single" w:sz="3" w:space="0" w:color="000000"/>
              <w:bottom w:val="single" w:sz="3" w:space="0" w:color="000000"/>
              <w:right w:val="single" w:sz="3" w:space="0" w:color="000000"/>
            </w:tcBorders>
          </w:tcPr>
          <w:p w14:paraId="0E1FD5F5"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9.14%</w:t>
            </w:r>
          </w:p>
        </w:tc>
        <w:tc>
          <w:tcPr>
            <w:tcW w:w="1381" w:type="dxa"/>
            <w:tcBorders>
              <w:top w:val="single" w:sz="3" w:space="0" w:color="000000"/>
              <w:left w:val="single" w:sz="3" w:space="0" w:color="000000"/>
              <w:bottom w:val="single" w:sz="3" w:space="0" w:color="000000"/>
              <w:right w:val="single" w:sz="3" w:space="0" w:color="000000"/>
            </w:tcBorders>
          </w:tcPr>
          <w:p w14:paraId="765FC6D5"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64C10BA3"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02FC7A3B"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Valero Energy, Benicia</w:t>
            </w:r>
          </w:p>
          <w:p w14:paraId="2AE9E06F"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Refinery</w:t>
            </w:r>
          </w:p>
        </w:tc>
        <w:tc>
          <w:tcPr>
            <w:tcW w:w="1948" w:type="dxa"/>
            <w:tcBorders>
              <w:top w:val="single" w:sz="3" w:space="0" w:color="000000"/>
              <w:left w:val="single" w:sz="3" w:space="0" w:color="000000"/>
              <w:bottom w:val="single" w:sz="3" w:space="0" w:color="000000"/>
              <w:right w:val="single" w:sz="3" w:space="0" w:color="000000"/>
            </w:tcBorders>
          </w:tcPr>
          <w:p w14:paraId="6953C23D"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San Francisco</w:t>
            </w:r>
          </w:p>
        </w:tc>
        <w:tc>
          <w:tcPr>
            <w:tcW w:w="1948" w:type="dxa"/>
            <w:tcBorders>
              <w:top w:val="single" w:sz="3" w:space="0" w:color="000000"/>
              <w:left w:val="single" w:sz="3" w:space="0" w:color="000000"/>
              <w:bottom w:val="single" w:sz="3" w:space="0" w:color="000000"/>
              <w:right w:val="single" w:sz="3" w:space="0" w:color="000000"/>
            </w:tcBorders>
          </w:tcPr>
          <w:p w14:paraId="4D4F8CAE"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145,000</w:t>
            </w:r>
          </w:p>
        </w:tc>
        <w:tc>
          <w:tcPr>
            <w:tcW w:w="1948" w:type="dxa"/>
            <w:tcBorders>
              <w:top w:val="single" w:sz="3" w:space="0" w:color="000000"/>
              <w:left w:val="single" w:sz="3" w:space="0" w:color="000000"/>
              <w:bottom w:val="single" w:sz="3" w:space="0" w:color="000000"/>
              <w:right w:val="single" w:sz="3" w:space="0" w:color="000000"/>
            </w:tcBorders>
          </w:tcPr>
          <w:p w14:paraId="7FD4C5F9"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8.48%</w:t>
            </w:r>
          </w:p>
        </w:tc>
        <w:tc>
          <w:tcPr>
            <w:tcW w:w="1381" w:type="dxa"/>
            <w:tcBorders>
              <w:top w:val="single" w:sz="3" w:space="0" w:color="000000"/>
              <w:left w:val="single" w:sz="3" w:space="0" w:color="000000"/>
              <w:bottom w:val="single" w:sz="3" w:space="0" w:color="000000"/>
              <w:right w:val="single" w:sz="3" w:space="0" w:color="000000"/>
            </w:tcBorders>
          </w:tcPr>
          <w:p w14:paraId="20BBEEB3"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4F8F2574"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5CE85869"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Phillips 66, Los Angeles</w:t>
            </w:r>
          </w:p>
          <w:p w14:paraId="58949912"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Refinery</w:t>
            </w:r>
          </w:p>
        </w:tc>
        <w:tc>
          <w:tcPr>
            <w:tcW w:w="1948" w:type="dxa"/>
            <w:tcBorders>
              <w:top w:val="single" w:sz="3" w:space="0" w:color="000000"/>
              <w:left w:val="single" w:sz="3" w:space="0" w:color="000000"/>
              <w:bottom w:val="single" w:sz="3" w:space="0" w:color="000000"/>
              <w:right w:val="single" w:sz="3" w:space="0" w:color="000000"/>
            </w:tcBorders>
          </w:tcPr>
          <w:p w14:paraId="57C13B14"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Los Angeles</w:t>
            </w:r>
          </w:p>
        </w:tc>
        <w:tc>
          <w:tcPr>
            <w:tcW w:w="1948" w:type="dxa"/>
            <w:tcBorders>
              <w:top w:val="single" w:sz="3" w:space="0" w:color="000000"/>
              <w:left w:val="single" w:sz="3" w:space="0" w:color="000000"/>
              <w:bottom w:val="single" w:sz="3" w:space="0" w:color="000000"/>
              <w:right w:val="single" w:sz="3" w:space="0" w:color="000000"/>
            </w:tcBorders>
          </w:tcPr>
          <w:p w14:paraId="2B044B8E"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139,000</w:t>
            </w:r>
          </w:p>
        </w:tc>
        <w:tc>
          <w:tcPr>
            <w:tcW w:w="1948" w:type="dxa"/>
            <w:tcBorders>
              <w:top w:val="single" w:sz="3" w:space="0" w:color="000000"/>
              <w:left w:val="single" w:sz="3" w:space="0" w:color="000000"/>
              <w:bottom w:val="single" w:sz="3" w:space="0" w:color="000000"/>
              <w:right w:val="single" w:sz="3" w:space="0" w:color="000000"/>
            </w:tcBorders>
          </w:tcPr>
          <w:p w14:paraId="5ED33F88"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8.13%</w:t>
            </w:r>
          </w:p>
        </w:tc>
        <w:tc>
          <w:tcPr>
            <w:tcW w:w="1381" w:type="dxa"/>
            <w:tcBorders>
              <w:top w:val="single" w:sz="3" w:space="0" w:color="000000"/>
              <w:left w:val="single" w:sz="3" w:space="0" w:color="000000"/>
              <w:bottom w:val="single" w:sz="3" w:space="0" w:color="000000"/>
              <w:right w:val="single" w:sz="3" w:space="0" w:color="000000"/>
            </w:tcBorders>
          </w:tcPr>
          <w:p w14:paraId="6939200B"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3A187D32"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419CBCB7"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lastRenderedPageBreak/>
              <w:t>Phillips 66, Rodeo San</w:t>
            </w:r>
          </w:p>
          <w:p w14:paraId="35008FB3"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Francisco Refinery</w:t>
            </w:r>
          </w:p>
        </w:tc>
        <w:tc>
          <w:tcPr>
            <w:tcW w:w="1948" w:type="dxa"/>
            <w:tcBorders>
              <w:top w:val="single" w:sz="3" w:space="0" w:color="000000"/>
              <w:left w:val="single" w:sz="3" w:space="0" w:color="000000"/>
              <w:bottom w:val="single" w:sz="3" w:space="0" w:color="000000"/>
              <w:right w:val="single" w:sz="3" w:space="0" w:color="000000"/>
            </w:tcBorders>
          </w:tcPr>
          <w:p w14:paraId="719589FC"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San Francisco</w:t>
            </w:r>
          </w:p>
        </w:tc>
        <w:tc>
          <w:tcPr>
            <w:tcW w:w="1948" w:type="dxa"/>
            <w:tcBorders>
              <w:top w:val="single" w:sz="3" w:space="0" w:color="000000"/>
              <w:left w:val="single" w:sz="3" w:space="0" w:color="000000"/>
              <w:bottom w:val="single" w:sz="3" w:space="0" w:color="000000"/>
              <w:right w:val="single" w:sz="3" w:space="0" w:color="000000"/>
            </w:tcBorders>
          </w:tcPr>
          <w:p w14:paraId="10DB7F16"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90,200</w:t>
            </w:r>
          </w:p>
        </w:tc>
        <w:tc>
          <w:tcPr>
            <w:tcW w:w="1948" w:type="dxa"/>
            <w:tcBorders>
              <w:top w:val="single" w:sz="3" w:space="0" w:color="000000"/>
              <w:left w:val="single" w:sz="3" w:space="0" w:color="000000"/>
              <w:bottom w:val="single" w:sz="3" w:space="0" w:color="000000"/>
              <w:right w:val="single" w:sz="3" w:space="0" w:color="000000"/>
            </w:tcBorders>
          </w:tcPr>
          <w:p w14:paraId="4FA7301B"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5.27%</w:t>
            </w:r>
          </w:p>
        </w:tc>
        <w:tc>
          <w:tcPr>
            <w:tcW w:w="1381" w:type="dxa"/>
            <w:tcBorders>
              <w:top w:val="single" w:sz="3" w:space="0" w:color="000000"/>
              <w:left w:val="single" w:sz="3" w:space="0" w:color="000000"/>
              <w:bottom w:val="single" w:sz="3" w:space="0" w:color="000000"/>
              <w:right w:val="single" w:sz="3" w:space="0" w:color="000000"/>
            </w:tcBorders>
          </w:tcPr>
          <w:p w14:paraId="5BED4FBA"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5A9CC7CB"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5887ACD9"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Valero Energy,</w:t>
            </w:r>
          </w:p>
          <w:p w14:paraId="67FED7D2"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Wilmington Refinery</w:t>
            </w:r>
          </w:p>
        </w:tc>
        <w:tc>
          <w:tcPr>
            <w:tcW w:w="1948" w:type="dxa"/>
            <w:tcBorders>
              <w:top w:val="single" w:sz="3" w:space="0" w:color="000000"/>
              <w:left w:val="single" w:sz="3" w:space="0" w:color="000000"/>
              <w:bottom w:val="single" w:sz="3" w:space="0" w:color="000000"/>
              <w:right w:val="single" w:sz="3" w:space="0" w:color="000000"/>
            </w:tcBorders>
          </w:tcPr>
          <w:p w14:paraId="36AA8F12"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Los Angeles</w:t>
            </w:r>
          </w:p>
        </w:tc>
        <w:tc>
          <w:tcPr>
            <w:tcW w:w="1948" w:type="dxa"/>
            <w:tcBorders>
              <w:top w:val="single" w:sz="3" w:space="0" w:color="000000"/>
              <w:left w:val="single" w:sz="3" w:space="0" w:color="000000"/>
              <w:bottom w:val="single" w:sz="3" w:space="0" w:color="000000"/>
              <w:right w:val="single" w:sz="3" w:space="0" w:color="000000"/>
            </w:tcBorders>
          </w:tcPr>
          <w:p w14:paraId="483F8213"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85,000</w:t>
            </w:r>
          </w:p>
        </w:tc>
        <w:tc>
          <w:tcPr>
            <w:tcW w:w="1948" w:type="dxa"/>
            <w:tcBorders>
              <w:top w:val="single" w:sz="3" w:space="0" w:color="000000"/>
              <w:left w:val="single" w:sz="3" w:space="0" w:color="000000"/>
              <w:bottom w:val="single" w:sz="3" w:space="0" w:color="000000"/>
              <w:right w:val="single" w:sz="3" w:space="0" w:color="000000"/>
            </w:tcBorders>
          </w:tcPr>
          <w:p w14:paraId="476DF941"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4.97%</w:t>
            </w:r>
          </w:p>
        </w:tc>
        <w:tc>
          <w:tcPr>
            <w:tcW w:w="1381" w:type="dxa"/>
            <w:tcBorders>
              <w:top w:val="single" w:sz="3" w:space="0" w:color="000000"/>
              <w:left w:val="single" w:sz="3" w:space="0" w:color="000000"/>
              <w:bottom w:val="single" w:sz="3" w:space="0" w:color="000000"/>
              <w:right w:val="single" w:sz="3" w:space="0" w:color="000000"/>
            </w:tcBorders>
          </w:tcPr>
          <w:p w14:paraId="61001119"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406820D8"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4BA99D2C"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Kern Energy, Bakersfield</w:t>
            </w:r>
          </w:p>
          <w:p w14:paraId="44FF8670"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Refinery</w:t>
            </w:r>
          </w:p>
        </w:tc>
        <w:tc>
          <w:tcPr>
            <w:tcW w:w="1948" w:type="dxa"/>
            <w:tcBorders>
              <w:top w:val="single" w:sz="3" w:space="0" w:color="000000"/>
              <w:left w:val="single" w:sz="3" w:space="0" w:color="000000"/>
              <w:bottom w:val="single" w:sz="3" w:space="0" w:color="000000"/>
              <w:right w:val="single" w:sz="3" w:space="0" w:color="000000"/>
            </w:tcBorders>
          </w:tcPr>
          <w:p w14:paraId="19D54E48"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Bakersfield</w:t>
            </w:r>
          </w:p>
        </w:tc>
        <w:tc>
          <w:tcPr>
            <w:tcW w:w="1948" w:type="dxa"/>
            <w:tcBorders>
              <w:top w:val="single" w:sz="3" w:space="0" w:color="000000"/>
              <w:left w:val="single" w:sz="3" w:space="0" w:color="000000"/>
              <w:bottom w:val="single" w:sz="3" w:space="0" w:color="000000"/>
              <w:right w:val="single" w:sz="3" w:space="0" w:color="000000"/>
            </w:tcBorders>
          </w:tcPr>
          <w:p w14:paraId="2728E099"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26,000</w:t>
            </w:r>
          </w:p>
        </w:tc>
        <w:tc>
          <w:tcPr>
            <w:tcW w:w="1948" w:type="dxa"/>
            <w:tcBorders>
              <w:top w:val="single" w:sz="3" w:space="0" w:color="000000"/>
              <w:left w:val="single" w:sz="3" w:space="0" w:color="000000"/>
              <w:bottom w:val="single" w:sz="3" w:space="0" w:color="000000"/>
              <w:right w:val="single" w:sz="3" w:space="0" w:color="000000"/>
            </w:tcBorders>
          </w:tcPr>
          <w:p w14:paraId="663D0926"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1.52%</w:t>
            </w:r>
          </w:p>
        </w:tc>
        <w:tc>
          <w:tcPr>
            <w:tcW w:w="1381" w:type="dxa"/>
            <w:tcBorders>
              <w:top w:val="single" w:sz="3" w:space="0" w:color="000000"/>
              <w:left w:val="single" w:sz="3" w:space="0" w:color="000000"/>
              <w:bottom w:val="single" w:sz="3" w:space="0" w:color="000000"/>
              <w:right w:val="single" w:sz="3" w:space="0" w:color="000000"/>
            </w:tcBorders>
          </w:tcPr>
          <w:p w14:paraId="4E94E027"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Yes</w:t>
            </w:r>
          </w:p>
        </w:tc>
      </w:tr>
      <w:tr w:rsidR="00B92949" w:rsidRPr="00FF2FE7" w14:paraId="583DB595" w14:textId="77777777">
        <w:trPr>
          <w:trHeight w:val="725"/>
        </w:trPr>
        <w:tc>
          <w:tcPr>
            <w:tcW w:w="2515" w:type="dxa"/>
            <w:tcBorders>
              <w:top w:val="single" w:sz="3" w:space="0" w:color="000000"/>
              <w:left w:val="single" w:sz="3" w:space="0" w:color="000000"/>
              <w:bottom w:val="single" w:sz="3" w:space="0" w:color="000000"/>
              <w:right w:val="single" w:sz="3" w:space="0" w:color="000000"/>
            </w:tcBorders>
          </w:tcPr>
          <w:p w14:paraId="75C0CECA"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San Joaquin Refining</w:t>
            </w:r>
          </w:p>
          <w:p w14:paraId="00CA10CD"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Company Inc.,</w:t>
            </w:r>
          </w:p>
          <w:p w14:paraId="62F32DDC" w14:textId="77777777" w:rsidR="00B92949" w:rsidRPr="00FF2FE7" w:rsidRDefault="00000000">
            <w:pPr>
              <w:spacing w:after="0" w:line="259" w:lineRule="auto"/>
              <w:ind w:left="0" w:firstLine="0"/>
              <w:rPr>
                <w:rFonts w:ascii="Times New Roman" w:hAnsi="Times New Roman" w:cs="Times New Roman"/>
              </w:rPr>
            </w:pPr>
            <w:r w:rsidRPr="00FF2FE7">
              <w:rPr>
                <w:rFonts w:ascii="Times New Roman" w:hAnsi="Times New Roman" w:cs="Times New Roman"/>
              </w:rPr>
              <w:t>Bakersfield Refinery</w:t>
            </w:r>
          </w:p>
        </w:tc>
        <w:tc>
          <w:tcPr>
            <w:tcW w:w="1948" w:type="dxa"/>
            <w:tcBorders>
              <w:top w:val="single" w:sz="3" w:space="0" w:color="000000"/>
              <w:left w:val="single" w:sz="3" w:space="0" w:color="000000"/>
              <w:bottom w:val="single" w:sz="3" w:space="0" w:color="000000"/>
              <w:right w:val="single" w:sz="3" w:space="0" w:color="000000"/>
            </w:tcBorders>
          </w:tcPr>
          <w:p w14:paraId="26334344"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Bakersfield</w:t>
            </w:r>
          </w:p>
        </w:tc>
        <w:tc>
          <w:tcPr>
            <w:tcW w:w="1948" w:type="dxa"/>
            <w:tcBorders>
              <w:top w:val="single" w:sz="3" w:space="0" w:color="000000"/>
              <w:left w:val="single" w:sz="3" w:space="0" w:color="000000"/>
              <w:bottom w:val="single" w:sz="3" w:space="0" w:color="000000"/>
              <w:right w:val="single" w:sz="3" w:space="0" w:color="000000"/>
            </w:tcBorders>
          </w:tcPr>
          <w:p w14:paraId="17A84DB0"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15,000</w:t>
            </w:r>
          </w:p>
        </w:tc>
        <w:tc>
          <w:tcPr>
            <w:tcW w:w="1948" w:type="dxa"/>
            <w:tcBorders>
              <w:top w:val="single" w:sz="3" w:space="0" w:color="000000"/>
              <w:left w:val="single" w:sz="3" w:space="0" w:color="000000"/>
              <w:bottom w:val="single" w:sz="3" w:space="0" w:color="000000"/>
              <w:right w:val="single" w:sz="3" w:space="0" w:color="000000"/>
            </w:tcBorders>
          </w:tcPr>
          <w:p w14:paraId="2EB92571"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0.88%</w:t>
            </w:r>
          </w:p>
        </w:tc>
        <w:tc>
          <w:tcPr>
            <w:tcW w:w="1381" w:type="dxa"/>
            <w:tcBorders>
              <w:top w:val="single" w:sz="3" w:space="0" w:color="000000"/>
              <w:left w:val="single" w:sz="3" w:space="0" w:color="000000"/>
              <w:bottom w:val="single" w:sz="3" w:space="0" w:color="000000"/>
              <w:right w:val="single" w:sz="3" w:space="0" w:color="000000"/>
            </w:tcBorders>
          </w:tcPr>
          <w:p w14:paraId="0FDE24FD" w14:textId="77777777" w:rsidR="00B92949" w:rsidRPr="00FF2FE7" w:rsidRDefault="00000000">
            <w:pPr>
              <w:spacing w:after="0" w:line="259" w:lineRule="auto"/>
              <w:ind w:left="0" w:right="8" w:firstLine="0"/>
              <w:jc w:val="center"/>
              <w:rPr>
                <w:rFonts w:ascii="Times New Roman" w:hAnsi="Times New Roman" w:cs="Times New Roman"/>
              </w:rPr>
            </w:pPr>
            <w:r w:rsidRPr="00FF2FE7">
              <w:rPr>
                <w:rFonts w:ascii="Times New Roman" w:hAnsi="Times New Roman" w:cs="Times New Roman"/>
              </w:rPr>
              <w:t>No</w:t>
            </w:r>
          </w:p>
        </w:tc>
      </w:tr>
    </w:tbl>
    <w:p w14:paraId="526BED65" w14:textId="77777777" w:rsidR="00B92949" w:rsidRPr="00FF2FE7" w:rsidRDefault="00000000">
      <w:pPr>
        <w:spacing w:after="78" w:line="259" w:lineRule="auto"/>
        <w:ind w:left="0" w:firstLine="0"/>
        <w:rPr>
          <w:rFonts w:ascii="Times New Roman" w:hAnsi="Times New Roman" w:cs="Times New Roman"/>
        </w:rPr>
      </w:pPr>
      <w:r w:rsidRPr="00FF2FE7">
        <w:rPr>
          <w:rFonts w:ascii="Times New Roman" w:eastAsia="Calibri" w:hAnsi="Times New Roman" w:cs="Times New Roman"/>
          <w:noProof/>
          <w:sz w:val="22"/>
        </w:rPr>
        <mc:AlternateContent>
          <mc:Choice Requires="wpg">
            <w:drawing>
              <wp:inline distT="0" distB="0" distL="0" distR="0" wp14:anchorId="0659A22E" wp14:editId="37AF617A">
                <wp:extent cx="2377402" cy="5055"/>
                <wp:effectExtent l="0" t="0" r="0" b="0"/>
                <wp:docPr id="7075" name="Group 7075"/>
                <wp:cNvGraphicFramePr/>
                <a:graphic xmlns:a="http://schemas.openxmlformats.org/drawingml/2006/main">
                  <a:graphicData uri="http://schemas.microsoft.com/office/word/2010/wordprocessingGroup">
                    <wpg:wgp>
                      <wpg:cNvGrpSpPr/>
                      <wpg:grpSpPr>
                        <a:xfrm>
                          <a:off x="0" y="0"/>
                          <a:ext cx="2377402" cy="5055"/>
                          <a:chOff x="0" y="0"/>
                          <a:chExt cx="2377402" cy="5055"/>
                        </a:xfrm>
                      </wpg:grpSpPr>
                      <wps:wsp>
                        <wps:cNvPr id="328" name="Shape 328"/>
                        <wps:cNvSpPr/>
                        <wps:spPr>
                          <a:xfrm>
                            <a:off x="0" y="0"/>
                            <a:ext cx="2377402" cy="0"/>
                          </a:xfrm>
                          <a:custGeom>
                            <a:avLst/>
                            <a:gdLst/>
                            <a:ahLst/>
                            <a:cxnLst/>
                            <a:rect l="0" t="0" r="0" b="0"/>
                            <a:pathLst>
                              <a:path w="2377402">
                                <a:moveTo>
                                  <a:pt x="0" y="0"/>
                                </a:moveTo>
                                <a:lnTo>
                                  <a:pt x="23774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5" style="width:187.197pt;height:0.398pt;mso-position-horizontal-relative:char;mso-position-vertical-relative:line" coordsize="23774,50">
                <v:shape id="Shape 328" style="position:absolute;width:23774;height:0;left:0;top:0;" coordsize="2377402,0" path="m0,0l2377402,0">
                  <v:stroke weight="0.398pt" endcap="flat" joinstyle="miter" miterlimit="10" on="true" color="#000000"/>
                  <v:fill on="false" color="#000000" opacity="0"/>
                </v:shape>
              </v:group>
            </w:pict>
          </mc:Fallback>
        </mc:AlternateContent>
      </w:r>
    </w:p>
    <w:p w14:paraId="117F147C" w14:textId="77777777" w:rsidR="00B92949" w:rsidRPr="00FF2FE7" w:rsidRDefault="00000000">
      <w:pPr>
        <w:spacing w:after="3" w:line="259" w:lineRule="auto"/>
        <w:ind w:left="-5"/>
        <w:rPr>
          <w:rFonts w:ascii="Times New Roman" w:hAnsi="Times New Roman" w:cs="Times New Roman"/>
        </w:rPr>
      </w:pPr>
      <w:r w:rsidRPr="00FF2FE7">
        <w:rPr>
          <w:rFonts w:ascii="Times New Roman" w:hAnsi="Times New Roman" w:cs="Times New Roman"/>
          <w:sz w:val="16"/>
        </w:rPr>
        <w:t>(</w:t>
      </w:r>
      <w:proofErr w:type="gramStart"/>
      <w:r w:rsidRPr="00FF2FE7">
        <w:rPr>
          <w:rFonts w:ascii="Times New Roman" w:hAnsi="Times New Roman" w:cs="Times New Roman"/>
          <w:sz w:val="16"/>
        </w:rPr>
        <w:t>hence</w:t>
      </w:r>
      <w:proofErr w:type="gramEnd"/>
      <w:r w:rsidRPr="00FF2FE7">
        <w:rPr>
          <w:rFonts w:ascii="Times New Roman" w:hAnsi="Times New Roman" w:cs="Times New Roman"/>
          <w:sz w:val="16"/>
        </w:rPr>
        <w:t xml:space="preserve"> I selected 87 RFG rather than 89 RFG and 91 RFG which also have corresponding rack fuel prices in the Bloomberg</w:t>
      </w:r>
    </w:p>
    <w:p w14:paraId="534195E3" w14:textId="77777777" w:rsidR="00B92949" w:rsidRPr="00FF2FE7" w:rsidRDefault="00000000">
      <w:pPr>
        <w:spacing w:after="3" w:line="259" w:lineRule="auto"/>
        <w:ind w:left="-5"/>
        <w:rPr>
          <w:rFonts w:ascii="Times New Roman" w:hAnsi="Times New Roman" w:cs="Times New Roman"/>
        </w:rPr>
      </w:pPr>
      <w:r w:rsidRPr="00FF2FE7">
        <w:rPr>
          <w:rFonts w:ascii="Times New Roman" w:hAnsi="Times New Roman" w:cs="Times New Roman"/>
          <w:sz w:val="16"/>
        </w:rPr>
        <w:t>Terminal).</w:t>
      </w:r>
    </w:p>
    <w:p w14:paraId="16201230" w14:textId="77777777" w:rsidR="00B92949" w:rsidRPr="00FF2FE7" w:rsidRDefault="00000000">
      <w:pPr>
        <w:spacing w:after="3" w:line="259" w:lineRule="auto"/>
        <w:ind w:left="232"/>
        <w:rPr>
          <w:rFonts w:ascii="Times New Roman" w:hAnsi="Times New Roman" w:cs="Times New Roman"/>
        </w:rPr>
      </w:pPr>
      <w:r w:rsidRPr="00FF2FE7">
        <w:rPr>
          <w:rFonts w:ascii="Times New Roman" w:hAnsi="Times New Roman" w:cs="Times New Roman"/>
          <w:sz w:val="16"/>
          <w:vertAlign w:val="superscript"/>
        </w:rPr>
        <w:t>4</w:t>
      </w:r>
      <w:r w:rsidRPr="00FF2FE7">
        <w:rPr>
          <w:rFonts w:ascii="Times New Roman" w:hAnsi="Times New Roman" w:cs="Times New Roman"/>
          <w:sz w:val="16"/>
        </w:rPr>
        <w:t xml:space="preserve">Note that I have only included refineries that are currently producing CARB gasoline. </w:t>
      </w:r>
      <w:hyperlink r:id="rId10">
        <w:r w:rsidRPr="00FF2FE7">
          <w:rPr>
            <w:rFonts w:ascii="Times New Roman" w:hAnsi="Times New Roman" w:cs="Times New Roman"/>
            <w:sz w:val="16"/>
          </w:rPr>
          <w:t>So</w:t>
        </w:r>
        <w:r w:rsidRPr="00FF2FE7">
          <w:rPr>
            <w:rFonts w:ascii="Times New Roman" w:hAnsi="Times New Roman" w:cs="Times New Roman"/>
            <w:sz w:val="16"/>
          </w:rPr>
          <w:t>u</w:t>
        </w:r>
        <w:r w:rsidRPr="00FF2FE7">
          <w:rPr>
            <w:rFonts w:ascii="Times New Roman" w:hAnsi="Times New Roman" w:cs="Times New Roman"/>
            <w:sz w:val="16"/>
          </w:rPr>
          <w:t>rce.</w:t>
        </w:r>
      </w:hyperlink>
    </w:p>
    <w:p w14:paraId="6766846A"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Los Angeles</w:t>
      </w:r>
    </w:p>
    <w:p w14:paraId="62F2D390"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5E3B69F3" wp14:editId="0C01AA1A">
            <wp:extent cx="5029365" cy="2514682"/>
            <wp:effectExtent l="0" t="0" r="508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1"/>
                    <a:stretch>
                      <a:fillRect/>
                    </a:stretch>
                  </pic:blipFill>
                  <pic:spPr>
                    <a:xfrm>
                      <a:off x="0" y="0"/>
                      <a:ext cx="5029365" cy="2514682"/>
                    </a:xfrm>
                    <a:prstGeom prst="rect">
                      <a:avLst/>
                    </a:prstGeom>
                  </pic:spPr>
                </pic:pic>
              </a:graphicData>
            </a:graphic>
          </wp:inline>
        </w:drawing>
      </w:r>
    </w:p>
    <w:p w14:paraId="18AB1B39" w14:textId="77777777" w:rsidR="00B92949" w:rsidRPr="00FF2FE7" w:rsidRDefault="00000000">
      <w:pPr>
        <w:spacing w:after="340"/>
        <w:ind w:left="-5"/>
        <w:rPr>
          <w:rFonts w:ascii="Times New Roman" w:hAnsi="Times New Roman" w:cs="Times New Roman"/>
        </w:rPr>
      </w:pPr>
      <w:r w:rsidRPr="00FF2FE7">
        <w:rPr>
          <w:rFonts w:ascii="Times New Roman" w:hAnsi="Times New Roman" w:cs="Times New Roman"/>
        </w:rPr>
        <w:t>In Los Angeles, the branded-unbranded differential is closing. Chevron-branded, ConocoPhillips-branded, and Shell-branded (in each case the refiner being the same as the distributor) appear the most elevated.</w:t>
      </w:r>
    </w:p>
    <w:p w14:paraId="7740205D"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San Diego</w:t>
      </w:r>
    </w:p>
    <w:p w14:paraId="722674A3"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7BE61951" wp14:editId="45663C99">
            <wp:extent cx="5029365" cy="2514682"/>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2"/>
                    <a:stretch>
                      <a:fillRect/>
                    </a:stretch>
                  </pic:blipFill>
                  <pic:spPr>
                    <a:xfrm>
                      <a:off x="0" y="0"/>
                      <a:ext cx="5029365" cy="2514682"/>
                    </a:xfrm>
                    <a:prstGeom prst="rect">
                      <a:avLst/>
                    </a:prstGeom>
                  </pic:spPr>
                </pic:pic>
              </a:graphicData>
            </a:graphic>
          </wp:inline>
        </w:drawing>
      </w:r>
    </w:p>
    <w:p w14:paraId="48557DC9" w14:textId="77777777" w:rsidR="00B92949" w:rsidRPr="00FF2FE7" w:rsidRDefault="00000000">
      <w:pPr>
        <w:ind w:left="-5"/>
        <w:rPr>
          <w:rFonts w:ascii="Times New Roman" w:hAnsi="Times New Roman" w:cs="Times New Roman"/>
        </w:rPr>
      </w:pPr>
      <w:r w:rsidRPr="00FF2FE7">
        <w:rPr>
          <w:rFonts w:ascii="Times New Roman" w:hAnsi="Times New Roman" w:cs="Times New Roman"/>
        </w:rPr>
        <w:lastRenderedPageBreak/>
        <w:t>In San Diego, the branded-unbranded difference has persisted; here, Chevron-branded and Shell-branded (in each case the refiner being the same as the distributor) appear the most elevated.</w:t>
      </w:r>
    </w:p>
    <w:p w14:paraId="12C76981"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San Jose</w:t>
      </w:r>
    </w:p>
    <w:p w14:paraId="07273968"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7E2FA34D" wp14:editId="0498CC7E">
            <wp:extent cx="5029365" cy="2514682"/>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3"/>
                    <a:stretch>
                      <a:fillRect/>
                    </a:stretch>
                  </pic:blipFill>
                  <pic:spPr>
                    <a:xfrm>
                      <a:off x="0" y="0"/>
                      <a:ext cx="5029365" cy="2514682"/>
                    </a:xfrm>
                    <a:prstGeom prst="rect">
                      <a:avLst/>
                    </a:prstGeom>
                  </pic:spPr>
                </pic:pic>
              </a:graphicData>
            </a:graphic>
          </wp:inline>
        </w:drawing>
      </w:r>
    </w:p>
    <w:p w14:paraId="06D1FF76" w14:textId="77777777" w:rsidR="00B92949" w:rsidRPr="00FF2FE7" w:rsidRDefault="00000000">
      <w:pPr>
        <w:spacing w:after="340"/>
        <w:ind w:left="-5"/>
        <w:rPr>
          <w:rFonts w:ascii="Times New Roman" w:hAnsi="Times New Roman" w:cs="Times New Roman"/>
        </w:rPr>
      </w:pPr>
      <w:r w:rsidRPr="00FF2FE7">
        <w:rPr>
          <w:rFonts w:ascii="Times New Roman" w:hAnsi="Times New Roman" w:cs="Times New Roman"/>
        </w:rPr>
        <w:t>San Jose has a similar pattern for the branded-unbranded price difference. Here, it appears that Chevron-branded, Shell-branded, and ConocoPhillips-branded gasoline are the most elevated (each distributed by the refiner, except for ConocoPhillips, which is distributed by Kinder Morgan).</w:t>
      </w:r>
    </w:p>
    <w:p w14:paraId="4141F994"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San Francisco</w:t>
      </w:r>
    </w:p>
    <w:p w14:paraId="1B1086F3"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74E9B97D" wp14:editId="457DE7B2">
            <wp:extent cx="5029365" cy="2514682"/>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4"/>
                    <a:stretch>
                      <a:fillRect/>
                    </a:stretch>
                  </pic:blipFill>
                  <pic:spPr>
                    <a:xfrm>
                      <a:off x="0" y="0"/>
                      <a:ext cx="5029365" cy="2514682"/>
                    </a:xfrm>
                    <a:prstGeom prst="rect">
                      <a:avLst/>
                    </a:prstGeom>
                  </pic:spPr>
                </pic:pic>
              </a:graphicData>
            </a:graphic>
          </wp:inline>
        </w:drawing>
      </w:r>
    </w:p>
    <w:p w14:paraId="6415C622" w14:textId="77777777" w:rsidR="00B92949" w:rsidRPr="00FF2FE7" w:rsidRDefault="00000000">
      <w:pPr>
        <w:spacing w:after="5"/>
        <w:ind w:left="-5"/>
        <w:rPr>
          <w:rFonts w:ascii="Times New Roman" w:hAnsi="Times New Roman" w:cs="Times New Roman"/>
        </w:rPr>
      </w:pPr>
      <w:r w:rsidRPr="00FF2FE7">
        <w:rPr>
          <w:rFonts w:ascii="Times New Roman" w:hAnsi="Times New Roman" w:cs="Times New Roman"/>
        </w:rPr>
        <w:t>SF has a similar branded-unbranded differential as the cities shown above. Over time, the</w:t>
      </w:r>
    </w:p>
    <w:p w14:paraId="325EE67C" w14:textId="77777777" w:rsidR="00B92949" w:rsidRPr="00FF2FE7" w:rsidRDefault="00000000">
      <w:pPr>
        <w:ind w:left="-5"/>
        <w:rPr>
          <w:rFonts w:ascii="Times New Roman" w:hAnsi="Times New Roman" w:cs="Times New Roman"/>
        </w:rPr>
      </w:pPr>
      <w:r w:rsidRPr="00FF2FE7">
        <w:rPr>
          <w:rFonts w:ascii="Times New Roman" w:hAnsi="Times New Roman" w:cs="Times New Roman"/>
        </w:rPr>
        <w:t>Chevron-branded and Shell-branded (in both cases the refiner is also the distributor) appear to be the most elevated and growing spreads.</w:t>
      </w:r>
    </w:p>
    <w:p w14:paraId="7DBCFE9B"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lastRenderedPageBreak/>
        <w:t>Fresno</w:t>
      </w:r>
    </w:p>
    <w:p w14:paraId="56807F29"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0A2E781A" wp14:editId="33C22828">
            <wp:extent cx="5029365" cy="2514682"/>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5"/>
                    <a:stretch>
                      <a:fillRect/>
                    </a:stretch>
                  </pic:blipFill>
                  <pic:spPr>
                    <a:xfrm>
                      <a:off x="0" y="0"/>
                      <a:ext cx="5029365" cy="2514682"/>
                    </a:xfrm>
                    <a:prstGeom prst="rect">
                      <a:avLst/>
                    </a:prstGeom>
                  </pic:spPr>
                </pic:pic>
              </a:graphicData>
            </a:graphic>
          </wp:inline>
        </w:drawing>
      </w:r>
    </w:p>
    <w:p w14:paraId="1A9B35AB" w14:textId="77777777" w:rsidR="00B92949" w:rsidRPr="00FF2FE7" w:rsidRDefault="00000000">
      <w:pPr>
        <w:spacing w:after="5"/>
        <w:ind w:left="-5"/>
        <w:rPr>
          <w:rFonts w:ascii="Times New Roman" w:hAnsi="Times New Roman" w:cs="Times New Roman"/>
        </w:rPr>
      </w:pPr>
      <w:r w:rsidRPr="00FF2FE7">
        <w:rPr>
          <w:rFonts w:ascii="Times New Roman" w:hAnsi="Times New Roman" w:cs="Times New Roman"/>
        </w:rPr>
        <w:t>The branded-unbranded difference is lesser for Fresno than most cities. Here Shell-branded and</w:t>
      </w:r>
    </w:p>
    <w:p w14:paraId="4F669891" w14:textId="77777777" w:rsidR="00B92949" w:rsidRPr="00FF2FE7" w:rsidRDefault="00000000">
      <w:pPr>
        <w:spacing w:after="375"/>
        <w:ind w:left="-5"/>
        <w:rPr>
          <w:rFonts w:ascii="Times New Roman" w:hAnsi="Times New Roman" w:cs="Times New Roman"/>
        </w:rPr>
      </w:pPr>
      <w:r w:rsidRPr="00FF2FE7">
        <w:rPr>
          <w:rFonts w:ascii="Times New Roman" w:hAnsi="Times New Roman" w:cs="Times New Roman"/>
        </w:rPr>
        <w:t>Shell-unbranded, and Tesoro Exxon are all elevated (all three being distributed by Kinder Morgan).</w:t>
      </w:r>
      <w:r w:rsidRPr="00FF2FE7">
        <w:rPr>
          <w:rFonts w:ascii="Times New Roman" w:hAnsi="Times New Roman" w:cs="Times New Roman"/>
          <w:vertAlign w:val="superscript"/>
        </w:rPr>
        <w:footnoteReference w:id="4"/>
      </w:r>
    </w:p>
    <w:p w14:paraId="2DF7DC67"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Sacramento</w:t>
      </w:r>
    </w:p>
    <w:p w14:paraId="18CF1A36"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3A8B4E8A" wp14:editId="0D50CCF7">
            <wp:extent cx="5029365" cy="2514682"/>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6"/>
                    <a:stretch>
                      <a:fillRect/>
                    </a:stretch>
                  </pic:blipFill>
                  <pic:spPr>
                    <a:xfrm>
                      <a:off x="0" y="0"/>
                      <a:ext cx="5029365" cy="2514682"/>
                    </a:xfrm>
                    <a:prstGeom prst="rect">
                      <a:avLst/>
                    </a:prstGeom>
                  </pic:spPr>
                </pic:pic>
              </a:graphicData>
            </a:graphic>
          </wp:inline>
        </w:drawing>
      </w:r>
    </w:p>
    <w:p w14:paraId="5C2D4555" w14:textId="77777777" w:rsidR="00B92949" w:rsidRPr="00FF2FE7" w:rsidRDefault="00000000">
      <w:pPr>
        <w:ind w:left="-5"/>
        <w:rPr>
          <w:rFonts w:ascii="Times New Roman" w:hAnsi="Times New Roman" w:cs="Times New Roman"/>
        </w:rPr>
      </w:pPr>
      <w:r w:rsidRPr="00FF2FE7">
        <w:rPr>
          <w:rFonts w:ascii="Times New Roman" w:hAnsi="Times New Roman" w:cs="Times New Roman"/>
        </w:rPr>
        <w:t xml:space="preserve">Sacramento has very volatile price spreads over time. However, it’s very clear that the branded-unbranded difference </w:t>
      </w:r>
      <w:proofErr w:type="gramStart"/>
      <w:r w:rsidRPr="00FF2FE7">
        <w:rPr>
          <w:rFonts w:ascii="Times New Roman" w:hAnsi="Times New Roman" w:cs="Times New Roman"/>
        </w:rPr>
        <w:t>opened up</w:t>
      </w:r>
      <w:proofErr w:type="gramEnd"/>
      <w:r w:rsidRPr="00FF2FE7">
        <w:rPr>
          <w:rFonts w:ascii="Times New Roman" w:hAnsi="Times New Roman" w:cs="Times New Roman"/>
        </w:rPr>
        <w:t xml:space="preserve"> around 2015 and has persisted. Chevron-branded and Shell-branded gasoline are the most elevated; for Sacramento, only this Chevron-branded gasoline is also distributed by Chevron, while the shell is distributed by Buckeye.</w:t>
      </w:r>
    </w:p>
    <w:p w14:paraId="4FC9C52A"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lastRenderedPageBreak/>
        <w:t>Bakersfield</w:t>
      </w:r>
    </w:p>
    <w:p w14:paraId="0A9DBCB2"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6FD3E87C" wp14:editId="2F8AC533">
            <wp:extent cx="5029365" cy="2514682"/>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7"/>
                    <a:stretch>
                      <a:fillRect/>
                    </a:stretch>
                  </pic:blipFill>
                  <pic:spPr>
                    <a:xfrm>
                      <a:off x="0" y="0"/>
                      <a:ext cx="5029365" cy="2514682"/>
                    </a:xfrm>
                    <a:prstGeom prst="rect">
                      <a:avLst/>
                    </a:prstGeom>
                  </pic:spPr>
                </pic:pic>
              </a:graphicData>
            </a:graphic>
          </wp:inline>
        </w:drawing>
      </w:r>
    </w:p>
    <w:p w14:paraId="605CA35F" w14:textId="77777777" w:rsidR="00B92949" w:rsidRPr="00FF2FE7" w:rsidRDefault="00000000">
      <w:pPr>
        <w:spacing w:after="340"/>
        <w:ind w:left="-5"/>
        <w:rPr>
          <w:rFonts w:ascii="Times New Roman" w:hAnsi="Times New Roman" w:cs="Times New Roman"/>
        </w:rPr>
      </w:pPr>
      <w:r w:rsidRPr="00FF2FE7">
        <w:rPr>
          <w:rFonts w:ascii="Times New Roman" w:hAnsi="Times New Roman" w:cs="Times New Roman"/>
        </w:rPr>
        <w:t>Bakersfield is relatively sparse. All branded gasoline is distributed by Kern and appear to be at approximately the same level, although Exxon has historically been volatile.</w:t>
      </w:r>
    </w:p>
    <w:p w14:paraId="5CF461E1"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Stockton</w:t>
      </w:r>
    </w:p>
    <w:p w14:paraId="265BE3EF"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79BBFB6F" wp14:editId="3BA9BD39">
            <wp:extent cx="5029365" cy="251468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8"/>
                    <a:stretch>
                      <a:fillRect/>
                    </a:stretch>
                  </pic:blipFill>
                  <pic:spPr>
                    <a:xfrm>
                      <a:off x="0" y="0"/>
                      <a:ext cx="5029365" cy="2514682"/>
                    </a:xfrm>
                    <a:prstGeom prst="rect">
                      <a:avLst/>
                    </a:prstGeom>
                  </pic:spPr>
                </pic:pic>
              </a:graphicData>
            </a:graphic>
          </wp:inline>
        </w:drawing>
      </w:r>
    </w:p>
    <w:p w14:paraId="2E441095" w14:textId="77777777" w:rsidR="00B92949" w:rsidRPr="00FF2FE7" w:rsidRDefault="00000000">
      <w:pPr>
        <w:ind w:left="-5"/>
        <w:rPr>
          <w:rFonts w:ascii="Times New Roman" w:hAnsi="Times New Roman" w:cs="Times New Roman"/>
        </w:rPr>
      </w:pPr>
      <w:r w:rsidRPr="00FF2FE7">
        <w:rPr>
          <w:rFonts w:ascii="Times New Roman" w:hAnsi="Times New Roman" w:cs="Times New Roman"/>
        </w:rPr>
        <w:t>Stockton exhibits the usual branded-unbranded spread. Here, Texaco-branded and Shell-branded are the most elevated rack prices (the former is distributed by Chevron and the latter is distributed by Shell).</w:t>
      </w:r>
    </w:p>
    <w:p w14:paraId="043CE5EC" w14:textId="77777777" w:rsidR="00B92949" w:rsidRPr="00FF2FE7" w:rsidRDefault="00000000">
      <w:pPr>
        <w:pStyle w:val="Heading2"/>
        <w:ind w:left="732" w:hanging="747"/>
        <w:rPr>
          <w:rFonts w:ascii="Times New Roman" w:hAnsi="Times New Roman" w:cs="Times New Roman"/>
        </w:rPr>
      </w:pPr>
      <w:r w:rsidRPr="00FF2FE7">
        <w:rPr>
          <w:rFonts w:ascii="Times New Roman" w:hAnsi="Times New Roman" w:cs="Times New Roman"/>
        </w:rPr>
        <w:lastRenderedPageBreak/>
        <w:t>Chico</w:t>
      </w:r>
    </w:p>
    <w:p w14:paraId="2F4D2E48"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79CCFCC2" wp14:editId="4809A280">
            <wp:extent cx="5029365" cy="2514682"/>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9"/>
                    <a:stretch>
                      <a:fillRect/>
                    </a:stretch>
                  </pic:blipFill>
                  <pic:spPr>
                    <a:xfrm>
                      <a:off x="0" y="0"/>
                      <a:ext cx="5029365" cy="2514682"/>
                    </a:xfrm>
                    <a:prstGeom prst="rect">
                      <a:avLst/>
                    </a:prstGeom>
                  </pic:spPr>
                </pic:pic>
              </a:graphicData>
            </a:graphic>
          </wp:inline>
        </w:drawing>
      </w:r>
    </w:p>
    <w:p w14:paraId="3EF545B1" w14:textId="77777777" w:rsidR="00B92949" w:rsidRPr="00FF2FE7" w:rsidRDefault="00000000">
      <w:pPr>
        <w:spacing w:after="340"/>
        <w:ind w:left="-5"/>
        <w:rPr>
          <w:rFonts w:ascii="Times New Roman" w:hAnsi="Times New Roman" w:cs="Times New Roman"/>
        </w:rPr>
      </w:pPr>
      <w:r w:rsidRPr="00FF2FE7">
        <w:rPr>
          <w:rFonts w:ascii="Times New Roman" w:hAnsi="Times New Roman" w:cs="Times New Roman"/>
        </w:rPr>
        <w:t>Chico exhibits the usual branded-unbranded spread, and Chevron-branded, Shell-branded, and ConocoPhillips-branded gasoline are the most elevated. All gasoline is distributed by Kinder Morgan.</w:t>
      </w:r>
    </w:p>
    <w:p w14:paraId="627F605B" w14:textId="77777777" w:rsidR="00B92949" w:rsidRPr="00FF2FE7" w:rsidRDefault="00000000">
      <w:pPr>
        <w:pStyle w:val="Heading2"/>
        <w:ind w:left="732" w:hanging="747"/>
        <w:rPr>
          <w:rFonts w:ascii="Times New Roman" w:hAnsi="Times New Roman" w:cs="Times New Roman"/>
        </w:rPr>
      </w:pPr>
      <w:r w:rsidRPr="00FF2FE7">
        <w:rPr>
          <w:rFonts w:ascii="Times New Roman" w:hAnsi="Times New Roman" w:cs="Times New Roman"/>
        </w:rPr>
        <w:t>Colton</w:t>
      </w:r>
    </w:p>
    <w:p w14:paraId="4BA060B8"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34ABE44A" wp14:editId="4161B1EA">
            <wp:extent cx="5029365" cy="2514682"/>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0"/>
                    <a:stretch>
                      <a:fillRect/>
                    </a:stretch>
                  </pic:blipFill>
                  <pic:spPr>
                    <a:xfrm>
                      <a:off x="0" y="0"/>
                      <a:ext cx="5029365" cy="2514682"/>
                    </a:xfrm>
                    <a:prstGeom prst="rect">
                      <a:avLst/>
                    </a:prstGeom>
                  </pic:spPr>
                </pic:pic>
              </a:graphicData>
            </a:graphic>
          </wp:inline>
        </w:drawing>
      </w:r>
    </w:p>
    <w:p w14:paraId="62AB4EA1" w14:textId="77777777" w:rsidR="00B92949" w:rsidRPr="00FF2FE7" w:rsidRDefault="00000000">
      <w:pPr>
        <w:spacing w:after="5"/>
        <w:ind w:left="-5"/>
        <w:rPr>
          <w:rFonts w:ascii="Times New Roman" w:hAnsi="Times New Roman" w:cs="Times New Roman"/>
        </w:rPr>
      </w:pPr>
      <w:r w:rsidRPr="00FF2FE7">
        <w:rPr>
          <w:rFonts w:ascii="Times New Roman" w:hAnsi="Times New Roman" w:cs="Times New Roman"/>
        </w:rPr>
        <w:t>Colton has the usual branded-unbranded spread. Chevron-branded, Shell-branded,</w:t>
      </w:r>
    </w:p>
    <w:p w14:paraId="60F463E2" w14:textId="77777777" w:rsidR="00B92949" w:rsidRPr="00FF2FE7" w:rsidRDefault="00000000">
      <w:pPr>
        <w:spacing w:after="5"/>
        <w:ind w:left="-5"/>
        <w:rPr>
          <w:rFonts w:ascii="Times New Roman" w:hAnsi="Times New Roman" w:cs="Times New Roman"/>
        </w:rPr>
      </w:pPr>
      <w:r w:rsidRPr="00FF2FE7">
        <w:rPr>
          <w:rFonts w:ascii="Times New Roman" w:hAnsi="Times New Roman" w:cs="Times New Roman"/>
        </w:rPr>
        <w:t>ConocoPhillips-branded, and Tesoro Shell are the most elevated spreads. All are distributed by Kinder</w:t>
      </w:r>
    </w:p>
    <w:p w14:paraId="1AA8B670" w14:textId="77777777" w:rsidR="00B92949" w:rsidRPr="00FF2FE7" w:rsidRDefault="00000000">
      <w:pPr>
        <w:ind w:left="-5"/>
        <w:rPr>
          <w:rFonts w:ascii="Times New Roman" w:hAnsi="Times New Roman" w:cs="Times New Roman"/>
        </w:rPr>
      </w:pPr>
      <w:r w:rsidRPr="00FF2FE7">
        <w:rPr>
          <w:rFonts w:ascii="Times New Roman" w:hAnsi="Times New Roman" w:cs="Times New Roman"/>
        </w:rPr>
        <w:t>Morgan except for ConocoPhillips which is transported by itself</w:t>
      </w:r>
    </w:p>
    <w:p w14:paraId="556B984A" w14:textId="77777777" w:rsidR="00B92949" w:rsidRPr="00FF2FE7" w:rsidRDefault="00000000">
      <w:pPr>
        <w:pStyle w:val="Heading2"/>
        <w:ind w:left="732" w:hanging="747"/>
        <w:rPr>
          <w:rFonts w:ascii="Times New Roman" w:hAnsi="Times New Roman" w:cs="Times New Roman"/>
        </w:rPr>
      </w:pPr>
      <w:r w:rsidRPr="00FF2FE7">
        <w:rPr>
          <w:rFonts w:ascii="Times New Roman" w:hAnsi="Times New Roman" w:cs="Times New Roman"/>
        </w:rPr>
        <w:lastRenderedPageBreak/>
        <w:t>Barstow</w:t>
      </w:r>
    </w:p>
    <w:p w14:paraId="1BBE322A"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5BF33F57" wp14:editId="1DD1C493">
            <wp:extent cx="5029365" cy="2514682"/>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21"/>
                    <a:stretch>
                      <a:fillRect/>
                    </a:stretch>
                  </pic:blipFill>
                  <pic:spPr>
                    <a:xfrm>
                      <a:off x="0" y="0"/>
                      <a:ext cx="5029365" cy="2514682"/>
                    </a:xfrm>
                    <a:prstGeom prst="rect">
                      <a:avLst/>
                    </a:prstGeom>
                  </pic:spPr>
                </pic:pic>
              </a:graphicData>
            </a:graphic>
          </wp:inline>
        </w:drawing>
      </w:r>
    </w:p>
    <w:p w14:paraId="6A974295" w14:textId="77777777" w:rsidR="00B92949" w:rsidRPr="00FF2FE7" w:rsidRDefault="00000000">
      <w:pPr>
        <w:spacing w:after="340"/>
        <w:ind w:left="-5"/>
        <w:rPr>
          <w:rFonts w:ascii="Times New Roman" w:hAnsi="Times New Roman" w:cs="Times New Roman"/>
        </w:rPr>
      </w:pPr>
      <w:r w:rsidRPr="00FF2FE7">
        <w:rPr>
          <w:rFonts w:ascii="Times New Roman" w:hAnsi="Times New Roman" w:cs="Times New Roman"/>
        </w:rPr>
        <w:t>Barstow is sparse and, like Imperial, its branded-unbranded gap is inverse. This is largely due to the inversion of the Valero-unbranded and Valero-branded gasoline. All gasoline sold here is distributed by Kinder Morgan.</w:t>
      </w:r>
    </w:p>
    <w:p w14:paraId="47E2395A" w14:textId="77777777" w:rsidR="00B92949" w:rsidRPr="00FF2FE7" w:rsidRDefault="00000000">
      <w:pPr>
        <w:pStyle w:val="Heading2"/>
        <w:ind w:left="732" w:hanging="747"/>
        <w:rPr>
          <w:rFonts w:ascii="Times New Roman" w:hAnsi="Times New Roman" w:cs="Times New Roman"/>
        </w:rPr>
      </w:pPr>
      <w:r w:rsidRPr="00FF2FE7">
        <w:rPr>
          <w:rFonts w:ascii="Times New Roman" w:hAnsi="Times New Roman" w:cs="Times New Roman"/>
        </w:rPr>
        <w:t>Imperial</w:t>
      </w:r>
    </w:p>
    <w:p w14:paraId="4CBF08C3"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136EF852" wp14:editId="23392F1E">
            <wp:extent cx="5029365" cy="2514682"/>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2"/>
                    <a:stretch>
                      <a:fillRect/>
                    </a:stretch>
                  </pic:blipFill>
                  <pic:spPr>
                    <a:xfrm>
                      <a:off x="0" y="0"/>
                      <a:ext cx="5029365" cy="2514682"/>
                    </a:xfrm>
                    <a:prstGeom prst="rect">
                      <a:avLst/>
                    </a:prstGeom>
                  </pic:spPr>
                </pic:pic>
              </a:graphicData>
            </a:graphic>
          </wp:inline>
        </w:drawing>
      </w:r>
    </w:p>
    <w:p w14:paraId="57BFFD3A" w14:textId="77777777" w:rsidR="00B92949" w:rsidRPr="00FF2FE7" w:rsidRDefault="00000000">
      <w:pPr>
        <w:spacing w:after="447"/>
        <w:ind w:left="-5"/>
        <w:rPr>
          <w:rFonts w:ascii="Times New Roman" w:hAnsi="Times New Roman" w:cs="Times New Roman"/>
        </w:rPr>
      </w:pPr>
      <w:r w:rsidRPr="00FF2FE7">
        <w:rPr>
          <w:rFonts w:ascii="Times New Roman" w:hAnsi="Times New Roman" w:cs="Times New Roman"/>
        </w:rPr>
        <w:t>Imperial appears strange: its branded-unbranded difference is often inverted and largely follow the pattern of the Valero branded and Valero unbranded spreads, transported by Kinder Morgan which is the distributor of all gasoline sold at this location.</w:t>
      </w:r>
    </w:p>
    <w:p w14:paraId="7B62727B" w14:textId="77777777" w:rsidR="00B92949" w:rsidRPr="00FF2FE7" w:rsidRDefault="00000000">
      <w:pPr>
        <w:pStyle w:val="Heading1"/>
        <w:ind w:left="469" w:hanging="484"/>
        <w:rPr>
          <w:rFonts w:ascii="Times New Roman" w:hAnsi="Times New Roman" w:cs="Times New Roman"/>
        </w:rPr>
      </w:pPr>
      <w:r w:rsidRPr="00FF2FE7">
        <w:rPr>
          <w:rFonts w:ascii="Times New Roman" w:hAnsi="Times New Roman" w:cs="Times New Roman"/>
        </w:rPr>
        <w:t>Comparing Across Distributors</w:t>
      </w:r>
    </w:p>
    <w:p w14:paraId="0ACEE5C7" w14:textId="77777777" w:rsidR="00B92949" w:rsidRPr="00FF2FE7" w:rsidRDefault="00000000">
      <w:pPr>
        <w:spacing w:after="354"/>
        <w:ind w:left="-5"/>
        <w:rPr>
          <w:rFonts w:ascii="Times New Roman" w:hAnsi="Times New Roman" w:cs="Times New Roman"/>
        </w:rPr>
      </w:pPr>
      <w:r w:rsidRPr="00FF2FE7">
        <w:rPr>
          <w:rFonts w:ascii="Times New Roman" w:hAnsi="Times New Roman" w:cs="Times New Roman"/>
        </w:rPr>
        <w:t>We can hone our analysis in multiple ways: focusing on 1) branded gasoline, 2) the most prominent refiners, and 3) the most prominent rack fuel locations. Thus, for this analysis I limit the sample to branded gasoline in Los Angeles, San Diego, San Jose, San Francisco, and Bakersfield.</w:t>
      </w:r>
      <w:r w:rsidRPr="00FF2FE7">
        <w:rPr>
          <w:rFonts w:ascii="Times New Roman" w:hAnsi="Times New Roman" w:cs="Times New Roman"/>
          <w:vertAlign w:val="superscript"/>
        </w:rPr>
        <w:footnoteReference w:id="5"/>
      </w:r>
      <w:r w:rsidRPr="00FF2FE7">
        <w:rPr>
          <w:rFonts w:ascii="Times New Roman" w:hAnsi="Times New Roman" w:cs="Times New Roman"/>
          <w:vertAlign w:val="superscript"/>
        </w:rPr>
        <w:t xml:space="preserve"> </w:t>
      </w:r>
      <w:r w:rsidRPr="00FF2FE7">
        <w:rPr>
          <w:rFonts w:ascii="Times New Roman" w:hAnsi="Times New Roman" w:cs="Times New Roman"/>
        </w:rPr>
        <w:t xml:space="preserve">Here I sort my analysis by refiner, not city. If we follow the </w:t>
      </w:r>
      <w:r w:rsidRPr="00FF2FE7">
        <w:rPr>
          <w:rFonts w:ascii="Times New Roman" w:hAnsi="Times New Roman" w:cs="Times New Roman"/>
        </w:rPr>
        <w:lastRenderedPageBreak/>
        <w:t>intuition of the argument that vertical integration lies behind the MGS, then we may expect brands that also distribute their own gasoline to have greater spreads than those that use other distributors.</w:t>
      </w:r>
    </w:p>
    <w:p w14:paraId="3E51B7F8"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Shell - Branded</w:t>
      </w:r>
    </w:p>
    <w:p w14:paraId="600B732B"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63D156C1" wp14:editId="70FA278A">
            <wp:extent cx="5029365" cy="2514682"/>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23"/>
                    <a:stretch>
                      <a:fillRect/>
                    </a:stretch>
                  </pic:blipFill>
                  <pic:spPr>
                    <a:xfrm>
                      <a:off x="0" y="0"/>
                      <a:ext cx="5029365" cy="2514682"/>
                    </a:xfrm>
                    <a:prstGeom prst="rect">
                      <a:avLst/>
                    </a:prstGeom>
                  </pic:spPr>
                </pic:pic>
              </a:graphicData>
            </a:graphic>
          </wp:inline>
        </w:drawing>
      </w:r>
    </w:p>
    <w:p w14:paraId="324E1CCD" w14:textId="77777777" w:rsidR="00B92949" w:rsidRPr="00FF2FE7" w:rsidRDefault="00000000">
      <w:pPr>
        <w:spacing w:after="340"/>
        <w:ind w:left="-5"/>
        <w:rPr>
          <w:rFonts w:ascii="Times New Roman" w:hAnsi="Times New Roman" w:cs="Times New Roman"/>
        </w:rPr>
      </w:pPr>
      <w:r w:rsidRPr="00FF2FE7">
        <w:rPr>
          <w:rFonts w:ascii="Times New Roman" w:hAnsi="Times New Roman" w:cs="Times New Roman"/>
        </w:rPr>
        <w:t>As reflected above, Shell-branded gasoline’s rack prices is significantly greater than the average rack price, across cities. Also of note is that for Los Angeles, the location of the Shell refinery is largely irrelevant as to the rack price. Interestingly, two of the three Los Angeles refineries are distributed by shell while the third is distributed by Kinder Morgan–and there appears to be no difference between the three.</w:t>
      </w:r>
    </w:p>
    <w:p w14:paraId="79B3B8B0"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Valero - Branded</w:t>
      </w:r>
    </w:p>
    <w:p w14:paraId="7EC13E6E"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47CBDBE2" wp14:editId="72BF4597">
            <wp:extent cx="5029365" cy="251468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24"/>
                    <a:stretch>
                      <a:fillRect/>
                    </a:stretch>
                  </pic:blipFill>
                  <pic:spPr>
                    <a:xfrm>
                      <a:off x="0" y="0"/>
                      <a:ext cx="5029365" cy="2514682"/>
                    </a:xfrm>
                    <a:prstGeom prst="rect">
                      <a:avLst/>
                    </a:prstGeom>
                  </pic:spPr>
                </pic:pic>
              </a:graphicData>
            </a:graphic>
          </wp:inline>
        </w:drawing>
      </w:r>
    </w:p>
    <w:p w14:paraId="568503F6" w14:textId="77777777" w:rsidR="00B92949" w:rsidRPr="00FF2FE7" w:rsidRDefault="00000000">
      <w:pPr>
        <w:ind w:left="-5"/>
        <w:rPr>
          <w:rFonts w:ascii="Times New Roman" w:hAnsi="Times New Roman" w:cs="Times New Roman"/>
        </w:rPr>
      </w:pPr>
      <w:r w:rsidRPr="00FF2FE7">
        <w:rPr>
          <w:rFonts w:ascii="Times New Roman" w:hAnsi="Times New Roman" w:cs="Times New Roman"/>
        </w:rPr>
        <w:t xml:space="preserve">Valero, even restricting to branded gasoline, largely sells at a negative spread, after hovering around a mean zero pre-Torrance Refinery Fire. Interestingly, only in San Francisco does Valero distribute their own gasoline, and in that case the spread is nearly </w:t>
      </w:r>
      <w:proofErr w:type="gramStart"/>
      <w:r w:rsidRPr="00FF2FE7">
        <w:rPr>
          <w:rFonts w:ascii="Times New Roman" w:hAnsi="Times New Roman" w:cs="Times New Roman"/>
        </w:rPr>
        <w:t>exactly the same</w:t>
      </w:r>
      <w:proofErr w:type="gramEnd"/>
      <w:r w:rsidRPr="00FF2FE7">
        <w:rPr>
          <w:rFonts w:ascii="Times New Roman" w:hAnsi="Times New Roman" w:cs="Times New Roman"/>
        </w:rPr>
        <w:t xml:space="preserve"> as the spread for the Valero refinery whose gas is distributed by Chevron.</w:t>
      </w:r>
    </w:p>
    <w:p w14:paraId="47F5D3E7"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lastRenderedPageBreak/>
        <w:t>Chevron - Branded</w:t>
      </w:r>
    </w:p>
    <w:p w14:paraId="3CCF0F19"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2EDD9F8D" wp14:editId="073EBB11">
            <wp:extent cx="5029365" cy="2514682"/>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029365" cy="2514682"/>
                    </a:xfrm>
                    <a:prstGeom prst="rect">
                      <a:avLst/>
                    </a:prstGeom>
                  </pic:spPr>
                </pic:pic>
              </a:graphicData>
            </a:graphic>
          </wp:inline>
        </w:drawing>
      </w:r>
    </w:p>
    <w:p w14:paraId="6E83052D" w14:textId="77777777" w:rsidR="00B92949" w:rsidRPr="00FF2FE7" w:rsidRDefault="00000000">
      <w:pPr>
        <w:spacing w:after="340"/>
        <w:ind w:left="-5"/>
        <w:rPr>
          <w:rFonts w:ascii="Times New Roman" w:hAnsi="Times New Roman" w:cs="Times New Roman"/>
        </w:rPr>
      </w:pPr>
      <w:r w:rsidRPr="00FF2FE7">
        <w:rPr>
          <w:rFonts w:ascii="Times New Roman" w:hAnsi="Times New Roman" w:cs="Times New Roman"/>
        </w:rPr>
        <w:t>Chevron exhibits a similar pattern to Shell. Interestingly, every single major rack has Chevron distributing its own gasoline except for the relatively isolated Bakersfield.</w:t>
      </w:r>
    </w:p>
    <w:p w14:paraId="336A7A0C" w14:textId="77777777" w:rsidR="00B92949" w:rsidRPr="00FF2FE7" w:rsidRDefault="00000000">
      <w:pPr>
        <w:pStyle w:val="Heading2"/>
        <w:ind w:left="598" w:hanging="613"/>
        <w:rPr>
          <w:rFonts w:ascii="Times New Roman" w:hAnsi="Times New Roman" w:cs="Times New Roman"/>
        </w:rPr>
      </w:pPr>
      <w:r w:rsidRPr="00FF2FE7">
        <w:rPr>
          <w:rFonts w:ascii="Times New Roman" w:hAnsi="Times New Roman" w:cs="Times New Roman"/>
        </w:rPr>
        <w:t>ConocoPhillips - Branded</w:t>
      </w:r>
    </w:p>
    <w:p w14:paraId="16D8EB04" w14:textId="77777777" w:rsidR="00B92949" w:rsidRPr="00FF2FE7" w:rsidRDefault="00000000">
      <w:pPr>
        <w:spacing w:after="101" w:line="259" w:lineRule="auto"/>
        <w:ind w:left="720" w:firstLine="0"/>
        <w:rPr>
          <w:rFonts w:ascii="Times New Roman" w:hAnsi="Times New Roman" w:cs="Times New Roman"/>
        </w:rPr>
      </w:pPr>
      <w:r w:rsidRPr="00FF2FE7">
        <w:rPr>
          <w:rFonts w:ascii="Times New Roman" w:hAnsi="Times New Roman" w:cs="Times New Roman"/>
          <w:noProof/>
        </w:rPr>
        <w:drawing>
          <wp:inline distT="0" distB="0" distL="0" distR="0" wp14:anchorId="0C9B42A9" wp14:editId="3B590BCF">
            <wp:extent cx="5029365" cy="2514682"/>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6"/>
                    <a:stretch>
                      <a:fillRect/>
                    </a:stretch>
                  </pic:blipFill>
                  <pic:spPr>
                    <a:xfrm>
                      <a:off x="0" y="0"/>
                      <a:ext cx="5029365" cy="2514682"/>
                    </a:xfrm>
                    <a:prstGeom prst="rect">
                      <a:avLst/>
                    </a:prstGeom>
                  </pic:spPr>
                </pic:pic>
              </a:graphicData>
            </a:graphic>
          </wp:inline>
        </w:drawing>
      </w:r>
    </w:p>
    <w:p w14:paraId="1ABCA4F7" w14:textId="77777777" w:rsidR="00B92949" w:rsidRPr="00FF2FE7" w:rsidRDefault="00000000">
      <w:pPr>
        <w:ind w:left="-5"/>
        <w:rPr>
          <w:rFonts w:ascii="Times New Roman" w:hAnsi="Times New Roman" w:cs="Times New Roman"/>
        </w:rPr>
      </w:pPr>
      <w:r w:rsidRPr="00FF2FE7">
        <w:rPr>
          <w:rFonts w:ascii="Times New Roman" w:hAnsi="Times New Roman" w:cs="Times New Roman"/>
        </w:rPr>
        <w:t>ConocoPhillips exhibits more volatility than the previous three major brands, with a sharp decrease in spreads in early-2019, and otherwise elevated positive spreads since approximately 2014. The San Jose, Kinder Morgan-distributed rack price is mostly the highest-elevated spread.</w:t>
      </w:r>
    </w:p>
    <w:sectPr w:rsidR="00B92949" w:rsidRPr="00FF2FE7">
      <w:footerReference w:type="even" r:id="rId27"/>
      <w:footerReference w:type="default" r:id="rId28"/>
      <w:footerReference w:type="first" r:id="rId29"/>
      <w:pgSz w:w="12240" w:h="15840"/>
      <w:pgMar w:top="1440" w:right="1440" w:bottom="1410" w:left="144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25F2A" w14:textId="77777777" w:rsidR="00B223BA" w:rsidRDefault="00B223BA">
      <w:pPr>
        <w:spacing w:after="0" w:line="240" w:lineRule="auto"/>
      </w:pPr>
      <w:r>
        <w:separator/>
      </w:r>
    </w:p>
  </w:endnote>
  <w:endnote w:type="continuationSeparator" w:id="0">
    <w:p w14:paraId="7F6E2EF0" w14:textId="77777777" w:rsidR="00B223BA" w:rsidRDefault="00B2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91632" w14:textId="77777777" w:rsidR="00B92949"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9279B" w14:textId="77777777" w:rsidR="00B92949"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02A6A" w14:textId="77777777" w:rsidR="00B92949"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1549AB" w14:textId="77777777" w:rsidR="00B223BA" w:rsidRDefault="00B223BA">
      <w:pPr>
        <w:spacing w:after="0" w:line="259" w:lineRule="auto"/>
        <w:ind w:left="222" w:firstLine="0"/>
      </w:pPr>
      <w:r>
        <w:separator/>
      </w:r>
    </w:p>
  </w:footnote>
  <w:footnote w:type="continuationSeparator" w:id="0">
    <w:p w14:paraId="3EFEBB0B" w14:textId="77777777" w:rsidR="00B223BA" w:rsidRDefault="00B223BA">
      <w:pPr>
        <w:spacing w:after="0" w:line="259" w:lineRule="auto"/>
        <w:ind w:left="222" w:firstLine="0"/>
      </w:pPr>
      <w:r>
        <w:continuationSeparator/>
      </w:r>
    </w:p>
  </w:footnote>
  <w:footnote w:id="1">
    <w:p w14:paraId="0A97B5CC" w14:textId="534F9068" w:rsidR="00B92949" w:rsidRDefault="00000000">
      <w:pPr>
        <w:pStyle w:val="footnotedescription"/>
        <w:ind w:left="222"/>
      </w:pPr>
      <w:r>
        <w:rPr>
          <w:rStyle w:val="footnotemark"/>
        </w:rPr>
        <w:footnoteRef/>
      </w:r>
      <w:r>
        <w:t xml:space="preserve"> Rack price data was taken from the Bloomberg Terminal.</w:t>
      </w:r>
      <w:r w:rsidR="00905F60">
        <w:t xml:space="preserve"> It should </w:t>
      </w:r>
      <w:r w:rsidR="004E5426">
        <w:t xml:space="preserve">also </w:t>
      </w:r>
      <w:r w:rsidR="00905F60">
        <w:t xml:space="preserve">be noted that </w:t>
      </w:r>
      <w:r w:rsidR="00C90108">
        <w:t>spot prices are only voluntarily reported</w:t>
      </w:r>
      <w:r w:rsidR="004B5536">
        <w:t>.</w:t>
      </w:r>
    </w:p>
  </w:footnote>
  <w:footnote w:id="2">
    <w:p w14:paraId="792609E1" w14:textId="42315C10" w:rsidR="00B92949" w:rsidRDefault="00000000">
      <w:pPr>
        <w:pStyle w:val="footnotedescription"/>
        <w:spacing w:after="5"/>
        <w:ind w:left="222"/>
      </w:pPr>
      <w:r>
        <w:rPr>
          <w:rStyle w:val="footnotemark"/>
        </w:rPr>
        <w:footnoteRef/>
      </w:r>
      <w:r>
        <w:t xml:space="preserve"> The retail price used </w:t>
      </w:r>
      <w:r w:rsidR="0021637F">
        <w:t xml:space="preserve">here </w:t>
      </w:r>
      <w:r>
        <w:t xml:space="preserve">is the </w:t>
      </w:r>
      <w:r>
        <w:rPr>
          <w:i/>
        </w:rPr>
        <w:t xml:space="preserve">overall </w:t>
      </w:r>
      <w:r>
        <w:t>CA average retail price.</w:t>
      </w:r>
    </w:p>
  </w:footnote>
  <w:footnote w:id="3">
    <w:p w14:paraId="4355F479" w14:textId="4C384E46" w:rsidR="00B92949" w:rsidRDefault="00000000">
      <w:pPr>
        <w:pStyle w:val="footnotedescription"/>
        <w:spacing w:line="260" w:lineRule="auto"/>
        <w:ind w:firstLine="222"/>
        <w:jc w:val="both"/>
      </w:pPr>
      <w:r>
        <w:rPr>
          <w:rStyle w:val="footnotemark"/>
        </w:rPr>
        <w:footnoteRef/>
      </w:r>
      <w:r>
        <w:t xml:space="preserve"> Note that these are rack prices corresponding to CARB, 87 RFG, blended with 10% Ethanol. This is in accordance </w:t>
      </w:r>
      <w:r w:rsidR="000F1F29">
        <w:t>with</w:t>
      </w:r>
      <w:r>
        <w:t xml:space="preserve"> my and Severin </w:t>
      </w:r>
      <w:proofErr w:type="spellStart"/>
      <w:r>
        <w:t>Borenstein’s</w:t>
      </w:r>
      <w:proofErr w:type="spellEnd"/>
      <w:r>
        <w:t xml:space="preserve"> methodology, which assumed maximum pass-through costs for the Low Carbon Fuel Standard (LCFS) program. This assumed that all gasoline sold was E-10, the most common blend of gasoline in the US, and of the lowest quality</w:t>
      </w:r>
    </w:p>
  </w:footnote>
  <w:footnote w:id="4">
    <w:p w14:paraId="5390A9D6" w14:textId="77777777" w:rsidR="00B92949" w:rsidRDefault="00000000">
      <w:pPr>
        <w:pStyle w:val="footnotedescription"/>
        <w:spacing w:line="278" w:lineRule="auto"/>
        <w:ind w:firstLine="222"/>
        <w:jc w:val="both"/>
      </w:pPr>
      <w:r>
        <w:rPr>
          <w:rStyle w:val="footnotemark"/>
        </w:rPr>
        <w:footnoteRef/>
      </w:r>
      <w:r>
        <w:t xml:space="preserve"> I suspect that the Shell-unbranded is distorting the branded-unbranded difference by pulling the unbranded average upwards; this is the only rack fuel location where there is a variable corresponding to shell unbranded gasoline.</w:t>
      </w:r>
    </w:p>
  </w:footnote>
  <w:footnote w:id="5">
    <w:p w14:paraId="6FD05573" w14:textId="77777777" w:rsidR="00B92949" w:rsidRDefault="00000000">
      <w:pPr>
        <w:pStyle w:val="footnotedescription"/>
        <w:jc w:val="right"/>
      </w:pPr>
      <w:r>
        <w:rPr>
          <w:rStyle w:val="footnotemark"/>
        </w:rPr>
        <w:footnoteRef/>
      </w:r>
      <w:r>
        <w:t xml:space="preserve"> I include Bakersfield because of its proximity to the only refiners outside of Los Angeles and San Francisco in all of California.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D35F0"/>
    <w:multiLevelType w:val="hybridMultilevel"/>
    <w:tmpl w:val="1292B024"/>
    <w:lvl w:ilvl="0" w:tplc="D08AD564">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6723246">
      <w:start w:val="1"/>
      <w:numFmt w:val="bullet"/>
      <w:lvlText w:val="•"/>
      <w:lvlJc w:val="left"/>
      <w:pPr>
        <w:ind w:left="9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260E0A2">
      <w:start w:val="1"/>
      <w:numFmt w:val="bullet"/>
      <w:lvlText w:val="▪"/>
      <w:lvlJc w:val="left"/>
      <w:pPr>
        <w:ind w:left="18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0B83034">
      <w:start w:val="1"/>
      <w:numFmt w:val="bullet"/>
      <w:lvlText w:val="•"/>
      <w:lvlJc w:val="left"/>
      <w:pPr>
        <w:ind w:left="25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B0355A">
      <w:start w:val="1"/>
      <w:numFmt w:val="bullet"/>
      <w:lvlText w:val="o"/>
      <w:lvlJc w:val="left"/>
      <w:pPr>
        <w:ind w:left="32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BEE018A">
      <w:start w:val="1"/>
      <w:numFmt w:val="bullet"/>
      <w:lvlText w:val="▪"/>
      <w:lvlJc w:val="left"/>
      <w:pPr>
        <w:ind w:left="39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11A5CE6">
      <w:start w:val="1"/>
      <w:numFmt w:val="bullet"/>
      <w:lvlText w:val="•"/>
      <w:lvlJc w:val="left"/>
      <w:pPr>
        <w:ind w:left="46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7562ED6">
      <w:start w:val="1"/>
      <w:numFmt w:val="bullet"/>
      <w:lvlText w:val="o"/>
      <w:lvlJc w:val="left"/>
      <w:pPr>
        <w:ind w:left="54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45C2970">
      <w:start w:val="1"/>
      <w:numFmt w:val="bullet"/>
      <w:lvlText w:val="▪"/>
      <w:lvlJc w:val="left"/>
      <w:pPr>
        <w:ind w:left="61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AA167F8"/>
    <w:multiLevelType w:val="multilevel"/>
    <w:tmpl w:val="C78258E2"/>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C30F47"/>
    <w:multiLevelType w:val="hybridMultilevel"/>
    <w:tmpl w:val="85D00CCA"/>
    <w:lvl w:ilvl="0" w:tplc="EF7CEA2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4CCFB1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6A68D6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C5E471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9632A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288476">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522AF80">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5C318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FF6594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2642ED0"/>
    <w:multiLevelType w:val="hybridMultilevel"/>
    <w:tmpl w:val="306C0504"/>
    <w:lvl w:ilvl="0" w:tplc="AAC83E1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E6E808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8D2D7B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6F6F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2CCBB4A">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7C2770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ACF0C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354FC0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F0A192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BCB7DB1"/>
    <w:multiLevelType w:val="hybridMultilevel"/>
    <w:tmpl w:val="8E361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A85DC4"/>
    <w:multiLevelType w:val="hybridMultilevel"/>
    <w:tmpl w:val="CE30BAB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14B1CF6"/>
    <w:multiLevelType w:val="hybridMultilevel"/>
    <w:tmpl w:val="7CCA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6029361">
    <w:abstractNumId w:val="2"/>
  </w:num>
  <w:num w:numId="2" w16cid:durableId="966162209">
    <w:abstractNumId w:val="0"/>
  </w:num>
  <w:num w:numId="3" w16cid:durableId="2126386276">
    <w:abstractNumId w:val="3"/>
  </w:num>
  <w:num w:numId="4" w16cid:durableId="1102914650">
    <w:abstractNumId w:val="1"/>
  </w:num>
  <w:num w:numId="5" w16cid:durableId="1259947377">
    <w:abstractNumId w:val="4"/>
  </w:num>
  <w:num w:numId="6" w16cid:durableId="458031733">
    <w:abstractNumId w:val="5"/>
  </w:num>
  <w:num w:numId="7" w16cid:durableId="16751124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949"/>
    <w:rsid w:val="00082235"/>
    <w:rsid w:val="000F1F29"/>
    <w:rsid w:val="001114EF"/>
    <w:rsid w:val="00192F3B"/>
    <w:rsid w:val="0021637F"/>
    <w:rsid w:val="002A3BC2"/>
    <w:rsid w:val="002E3BA3"/>
    <w:rsid w:val="002E5F83"/>
    <w:rsid w:val="00314AB6"/>
    <w:rsid w:val="004912A2"/>
    <w:rsid w:val="004B5536"/>
    <w:rsid w:val="004E5426"/>
    <w:rsid w:val="004F0CB3"/>
    <w:rsid w:val="00704D64"/>
    <w:rsid w:val="00905F60"/>
    <w:rsid w:val="00A23111"/>
    <w:rsid w:val="00AA226E"/>
    <w:rsid w:val="00B223BA"/>
    <w:rsid w:val="00B92949"/>
    <w:rsid w:val="00B9346E"/>
    <w:rsid w:val="00C90108"/>
    <w:rsid w:val="00CA282F"/>
    <w:rsid w:val="00D33DD8"/>
    <w:rsid w:val="00D732F0"/>
    <w:rsid w:val="00F244D7"/>
    <w:rsid w:val="00FD1282"/>
    <w:rsid w:val="00FF2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657391"/>
  <w15:docId w15:val="{B761D26C-9978-5C49-BA64-0EF1CCC9D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7" w:line="253" w:lineRule="auto"/>
      <w:ind w:left="10" w:hanging="10"/>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4"/>
      </w:numPr>
      <w:spacing w:after="8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4"/>
      </w:numPr>
      <w:spacing w:after="0" w:line="259"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paragraph" w:customStyle="1" w:styleId="footnotedescription">
    <w:name w:val="footnote description"/>
    <w:next w:val="Normal"/>
    <w:link w:val="footnotedescriptionChar"/>
    <w:hidden/>
    <w:pPr>
      <w:spacing w:after="0" w:line="259" w:lineRule="auto"/>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F0C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2.xml"/><Relationship Id="rId10" Type="http://schemas.openxmlformats.org/officeDocument/2006/relationships/hyperlink" Target="https://www.energy.ca.gov/data-reports/energy-almanac/californias-petroleum-market/californias-oil-refineries" TargetMode="External"/><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1693</Words>
  <Characters>9653</Characters>
  <Application>Microsoft Office Word</Application>
  <DocSecurity>0</DocSecurity>
  <Lines>80</Lines>
  <Paragraphs>22</Paragraphs>
  <ScaleCrop>false</ScaleCrop>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Karsten Posthumus</dc:creator>
  <cp:keywords/>
  <cp:lastModifiedBy>Daniel Karsten Posthumus</cp:lastModifiedBy>
  <cp:revision>24</cp:revision>
  <dcterms:created xsi:type="dcterms:W3CDTF">2024-08-23T18:15:00Z</dcterms:created>
  <dcterms:modified xsi:type="dcterms:W3CDTF">2024-08-27T21:27:00Z</dcterms:modified>
</cp:coreProperties>
</file>