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8782" w14:textId="77777777" w:rsidR="008C60F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From: </w:t>
      </w:r>
      <w:r>
        <w:rPr>
          <w:rFonts w:ascii="Times New Roman" w:eastAsia="Times New Roman" w:hAnsi="Times New Roman" w:cs="Times New Roman"/>
          <w:sz w:val="24"/>
          <w:szCs w:val="24"/>
        </w:rPr>
        <w:t>Daniel Posthumus</w:t>
      </w:r>
    </w:p>
    <w:p w14:paraId="22D48C6D" w14:textId="77777777" w:rsidR="008C60F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 </w:t>
      </w:r>
      <w:r>
        <w:rPr>
          <w:rFonts w:ascii="Times New Roman" w:eastAsia="Times New Roman" w:hAnsi="Times New Roman" w:cs="Times New Roman"/>
          <w:sz w:val="24"/>
          <w:szCs w:val="24"/>
        </w:rPr>
        <w:t>CDTFA</w:t>
      </w:r>
    </w:p>
    <w:p w14:paraId="4F1BF15C" w14:textId="77777777" w:rsidR="008C60F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CC: </w:t>
      </w:r>
      <w:r>
        <w:rPr>
          <w:rFonts w:ascii="Times New Roman" w:eastAsia="Times New Roman" w:hAnsi="Times New Roman" w:cs="Times New Roman"/>
          <w:sz w:val="24"/>
          <w:szCs w:val="24"/>
        </w:rPr>
        <w:t>Ryan Cummings and Neale Mahoney</w:t>
      </w:r>
    </w:p>
    <w:p w14:paraId="7E07465C" w14:textId="5276DC4E" w:rsidR="008C60F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12/</w:t>
      </w:r>
      <w:r w:rsidR="00376421">
        <w:rPr>
          <w:rFonts w:ascii="Times New Roman" w:eastAsia="Times New Roman" w:hAnsi="Times New Roman" w:cs="Times New Roman"/>
          <w:sz w:val="24"/>
          <w:szCs w:val="24"/>
        </w:rPr>
        <w:t>20</w:t>
      </w:r>
      <w:r>
        <w:rPr>
          <w:rFonts w:ascii="Times New Roman" w:eastAsia="Times New Roman" w:hAnsi="Times New Roman" w:cs="Times New Roman"/>
          <w:sz w:val="24"/>
          <w:szCs w:val="24"/>
        </w:rPr>
        <w:t>/2024</w:t>
      </w:r>
    </w:p>
    <w:p w14:paraId="782345DC" w14:textId="77777777" w:rsidR="008C60F4"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b/>
          <w:sz w:val="24"/>
          <w:szCs w:val="24"/>
        </w:rPr>
        <w:t>Subject:</w:t>
      </w:r>
      <w:r>
        <w:rPr>
          <w:rFonts w:ascii="Times New Roman" w:eastAsia="Times New Roman" w:hAnsi="Times New Roman" w:cs="Times New Roman"/>
          <w:sz w:val="24"/>
          <w:szCs w:val="24"/>
        </w:rPr>
        <w:t xml:space="preserve"> Hypermarket Event Study Data Build</w:t>
      </w:r>
    </w:p>
    <w:p w14:paraId="7C3BEE4C" w14:textId="77777777" w:rsidR="008C60F4" w:rsidRDefault="008C60F4">
      <w:pPr>
        <w:rPr>
          <w:rFonts w:ascii="Times New Roman" w:eastAsia="Times New Roman" w:hAnsi="Times New Roman" w:cs="Times New Roman"/>
          <w:b/>
          <w:sz w:val="30"/>
          <w:szCs w:val="30"/>
        </w:rPr>
      </w:pPr>
    </w:p>
    <w:p w14:paraId="2231D0AC"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w:t>
      </w:r>
    </w:p>
    <w:p w14:paraId="6C1F2216" w14:textId="0406DA7A"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memo </w:t>
      </w:r>
      <w:r w:rsidR="007D1B7B">
        <w:rPr>
          <w:rFonts w:ascii="Times New Roman" w:eastAsia="Times New Roman" w:hAnsi="Times New Roman" w:cs="Times New Roman"/>
          <w:sz w:val="24"/>
          <w:szCs w:val="24"/>
        </w:rPr>
        <w:t>provides the background to the data that we used to construct the write-up, “</w:t>
      </w:r>
      <w:r w:rsidR="00A71C8C">
        <w:rPr>
          <w:rFonts w:ascii="Times New Roman" w:eastAsia="Times New Roman" w:hAnsi="Times New Roman" w:cs="Times New Roman"/>
          <w:sz w:val="24"/>
          <w:szCs w:val="24"/>
        </w:rPr>
        <w:t xml:space="preserve">Hypermarket and Low-Priced Competition Event Study Analysis”. </w:t>
      </w:r>
      <w:r>
        <w:rPr>
          <w:rFonts w:ascii="Times New Roman" w:eastAsia="Times New Roman" w:hAnsi="Times New Roman" w:cs="Times New Roman"/>
          <w:sz w:val="24"/>
          <w:szCs w:val="24"/>
        </w:rPr>
        <w:t>Specifically, it covers the following:</w:t>
      </w:r>
    </w:p>
    <w:p w14:paraId="016B8A66"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distinguish between a location-based and an owner-based Station ID variable.</w:t>
      </w:r>
    </w:p>
    <w:p w14:paraId="15A92DD2"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create an inclusion rule for our dataset. </w:t>
      </w:r>
    </w:p>
    <w:p w14:paraId="164F7EB3"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summarize the different types of events we can study:</w:t>
      </w:r>
    </w:p>
    <w:p w14:paraId="02BC5ADB"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compile statistics of firms undergoing each change.</w:t>
      </w:r>
    </w:p>
    <w:p w14:paraId="0EF639C6"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map the relative frequency of these events in the Bay Area as an example of geographic heterogeneity.</w:t>
      </w:r>
    </w:p>
    <w:p w14:paraId="1713113A"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 I focus on constructing our event study data:</w:t>
      </w:r>
    </w:p>
    <w:p w14:paraId="518897F4" w14:textId="35D829FD"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create geographical circles capturing firms with</w:t>
      </w:r>
      <w:r w:rsidR="00D876E2">
        <w:rPr>
          <w:rFonts w:ascii="Times New Roman" w:eastAsia="Times New Roman" w:hAnsi="Times New Roman" w:cs="Times New Roman"/>
          <w:sz w:val="24"/>
          <w:szCs w:val="24"/>
        </w:rPr>
        <w:t>in a</w:t>
      </w:r>
      <w:r>
        <w:rPr>
          <w:rFonts w:ascii="Times New Roman" w:eastAsia="Times New Roman" w:hAnsi="Times New Roman" w:cs="Times New Roman"/>
          <w:sz w:val="24"/>
          <w:szCs w:val="24"/>
        </w:rPr>
        <w:t xml:space="preserve"> </w:t>
      </w:r>
      <w:r w:rsidR="00E35403">
        <w:rPr>
          <w:rFonts w:ascii="Times New Roman" w:eastAsia="Times New Roman" w:hAnsi="Times New Roman" w:cs="Times New Roman"/>
          <w:sz w:val="24"/>
          <w:szCs w:val="24"/>
        </w:rPr>
        <w:t>3</w:t>
      </w:r>
      <w:r w:rsidR="00330E00">
        <w:rPr>
          <w:rFonts w:ascii="Times New Roman" w:eastAsia="Times New Roman" w:hAnsi="Times New Roman" w:cs="Times New Roman"/>
          <w:sz w:val="24"/>
          <w:szCs w:val="24"/>
        </w:rPr>
        <w:t>-mile</w:t>
      </w:r>
      <w:r>
        <w:rPr>
          <w:rFonts w:ascii="Times New Roman" w:eastAsia="Times New Roman" w:hAnsi="Times New Roman" w:cs="Times New Roman"/>
          <w:sz w:val="24"/>
          <w:szCs w:val="24"/>
        </w:rPr>
        <w:t xml:space="preserve"> </w:t>
      </w:r>
      <w:r w:rsidR="00CD66B0">
        <w:rPr>
          <w:rFonts w:ascii="Times New Roman" w:eastAsia="Times New Roman" w:hAnsi="Times New Roman" w:cs="Times New Roman"/>
          <w:sz w:val="24"/>
          <w:szCs w:val="24"/>
        </w:rPr>
        <w:t>radius</w:t>
      </w:r>
      <w:r w:rsidR="00D876E2">
        <w:rPr>
          <w:rFonts w:ascii="Times New Roman" w:eastAsia="Times New Roman" w:hAnsi="Times New Roman" w:cs="Times New Roman"/>
          <w:sz w:val="24"/>
          <w:szCs w:val="24"/>
        </w:rPr>
        <w:t>, 3-10</w:t>
      </w:r>
      <w:r>
        <w:rPr>
          <w:rFonts w:ascii="Times New Roman" w:eastAsia="Times New Roman" w:hAnsi="Times New Roman" w:cs="Times New Roman"/>
          <w:sz w:val="24"/>
          <w:szCs w:val="24"/>
        </w:rPr>
        <w:t xml:space="preserve"> </w:t>
      </w:r>
      <w:r w:rsidR="00D876E2">
        <w:rPr>
          <w:rFonts w:ascii="Times New Roman" w:eastAsia="Times New Roman" w:hAnsi="Times New Roman" w:cs="Times New Roman"/>
          <w:sz w:val="24"/>
          <w:szCs w:val="24"/>
        </w:rPr>
        <w:t>mile donut</w:t>
      </w:r>
      <w:r w:rsidR="00066DD3">
        <w:rPr>
          <w:rFonts w:ascii="Times New Roman" w:eastAsia="Times New Roman" w:hAnsi="Times New Roman" w:cs="Times New Roman"/>
          <w:sz w:val="24"/>
          <w:szCs w:val="24"/>
        </w:rPr>
        <w:t xml:space="preserve">, and 10-20 donut </w:t>
      </w:r>
      <w:r>
        <w:rPr>
          <w:rFonts w:ascii="Times New Roman" w:eastAsia="Times New Roman" w:hAnsi="Times New Roman" w:cs="Times New Roman"/>
          <w:sz w:val="24"/>
          <w:szCs w:val="24"/>
        </w:rPr>
        <w:t>of stations undergoing events.</w:t>
      </w:r>
    </w:p>
    <w:p w14:paraId="003A3E7A"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create a transition matrix to understand what shares of brand changes match to certain combinations of store brands.</w:t>
      </w:r>
    </w:p>
    <w:p w14:paraId="7FEFAC9B" w14:textId="77777777" w:rsidR="008C60F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conclude by analyzing hypermarkets:</w:t>
      </w:r>
    </w:p>
    <w:p w14:paraId="28BDA761" w14:textId="77777777" w:rsidR="008C60F4"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explore different ways to define hypermarkets, or “branded bargain stations”, either by 1) a predefined list of hypermarket store brands or 2) price relative to the unbranded average.</w:t>
      </w:r>
    </w:p>
    <w:p w14:paraId="0ECAEB77" w14:textId="77777777" w:rsidR="008C60F4" w:rsidRDefault="008C60F4">
      <w:pPr>
        <w:rPr>
          <w:rFonts w:ascii="Times New Roman" w:eastAsia="Times New Roman" w:hAnsi="Times New Roman" w:cs="Times New Roman"/>
          <w:sz w:val="24"/>
          <w:szCs w:val="24"/>
        </w:rPr>
      </w:pPr>
    </w:p>
    <w:p w14:paraId="19B7E2B0"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takeaways are the following:</w:t>
      </w:r>
    </w:p>
    <w:p w14:paraId="3E804517"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station ID pre-included in OPIS only considers location; thus, if there is a change of ownership/brand at a station while its location remains constant, OPIS’s Fuellocation ID variable remains unchanged. To capture changes in brand, I create a new ID unique to location / brand combinations.</w:t>
      </w:r>
    </w:p>
    <w:p w14:paraId="59E76450"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some analysis of the data, I only include stations that, for a given week, have at least five non-missing observations. </w:t>
      </w:r>
    </w:p>
    <w:p w14:paraId="1D002C8D"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attrition rate resulting from this inclusion rule is heterogeneous across geography (i.e., Mountain View’s attrition rate is lower than Los Angeles’).</w:t>
      </w:r>
    </w:p>
    <w:p w14:paraId="2AB9EEBF"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average, exits in the data occur nearly two years earlier than entrances.</w:t>
      </w:r>
    </w:p>
    <w:p w14:paraId="3A08E0D7"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Exiting firms have margins greater than the average station, while entering firms have margins lower than the average station.</w:t>
      </w:r>
    </w:p>
    <w:p w14:paraId="01A66E94"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Unbranded stations are much more common among </w:t>
      </w:r>
      <w:r>
        <w:rPr>
          <w:rFonts w:ascii="Times New Roman" w:eastAsia="Times New Roman" w:hAnsi="Times New Roman" w:cs="Times New Roman"/>
          <w:i/>
          <w:sz w:val="24"/>
          <w:szCs w:val="24"/>
        </w:rPr>
        <w:t xml:space="preserve">both </w:t>
      </w:r>
      <w:r>
        <w:rPr>
          <w:rFonts w:ascii="Times New Roman" w:eastAsia="Times New Roman" w:hAnsi="Times New Roman" w:cs="Times New Roman"/>
          <w:sz w:val="24"/>
          <w:szCs w:val="24"/>
        </w:rPr>
        <w:t>entering and exiting firms than either firms undergoing brand changes as well as the average station.</w:t>
      </w:r>
    </w:p>
    <w:p w14:paraId="68ECC867"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a puzzle; intuitively, we’d expect firms to exit because of lower margins/profits. However, margin alone gives an incomplete picture without quantity; perhaps the stations didn’t sell enough gasoline to recoup fixed costs. More analysis into the characteristics of exiting/entering firms is needed.</w:t>
      </w:r>
    </w:p>
    <w:p w14:paraId="5ED110CD" w14:textId="77777777" w:rsidR="008C60F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price dynamics around events in Los Angeles:</w:t>
      </w:r>
    </w:p>
    <w:p w14:paraId="157E77AB"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Firms undergoing brand changes have higher prices than nearby stations </w:t>
      </w:r>
      <w:r>
        <w:rPr>
          <w:rFonts w:ascii="Times New Roman" w:eastAsia="Times New Roman" w:hAnsi="Times New Roman" w:cs="Times New Roman"/>
          <w:i/>
          <w:sz w:val="24"/>
          <w:szCs w:val="24"/>
        </w:rPr>
        <w:t xml:space="preserve">before </w:t>
      </w:r>
      <w:r>
        <w:rPr>
          <w:rFonts w:ascii="Times New Roman" w:eastAsia="Times New Roman" w:hAnsi="Times New Roman" w:cs="Times New Roman"/>
          <w:sz w:val="24"/>
          <w:szCs w:val="24"/>
        </w:rPr>
        <w:t xml:space="preserve">the change, and lower prices than nearby stations </w:t>
      </w:r>
      <w:r>
        <w:rPr>
          <w:rFonts w:ascii="Times New Roman" w:eastAsia="Times New Roman" w:hAnsi="Times New Roman" w:cs="Times New Roman"/>
          <w:i/>
          <w:sz w:val="24"/>
          <w:szCs w:val="24"/>
        </w:rPr>
        <w:t xml:space="preserve">after </w:t>
      </w:r>
      <w:r>
        <w:rPr>
          <w:rFonts w:ascii="Times New Roman" w:eastAsia="Times New Roman" w:hAnsi="Times New Roman" w:cs="Times New Roman"/>
          <w:sz w:val="24"/>
          <w:szCs w:val="24"/>
        </w:rPr>
        <w:t xml:space="preserve">the change. </w:t>
      </w:r>
    </w:p>
    <w:p w14:paraId="2FC1A3E1"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entering from nothing, firms have lower prices than nearby stations.</w:t>
      </w:r>
    </w:p>
    <w:p w14:paraId="32B8B087" w14:textId="77777777" w:rsidR="008C60F4"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Between (approximately) 52-20 weeks </w:t>
      </w:r>
      <w:r>
        <w:rPr>
          <w:rFonts w:ascii="Times New Roman" w:eastAsia="Times New Roman" w:hAnsi="Times New Roman" w:cs="Times New Roman"/>
          <w:i/>
          <w:sz w:val="24"/>
          <w:szCs w:val="24"/>
        </w:rPr>
        <w:t xml:space="preserve">before </w:t>
      </w:r>
      <w:r>
        <w:rPr>
          <w:rFonts w:ascii="Times New Roman" w:eastAsia="Times New Roman" w:hAnsi="Times New Roman" w:cs="Times New Roman"/>
          <w:sz w:val="24"/>
          <w:szCs w:val="24"/>
        </w:rPr>
        <w:t>exiting to nothing, firms have lower prices than nearby stations; then, around 20 weeks before exiting, firms have approximately the same prices as nearby stations before exceeding nearby stations’ prices immediately before exiting.</w:t>
      </w:r>
    </w:p>
    <w:p w14:paraId="7258F0F3" w14:textId="77777777" w:rsidR="008C60F4" w:rsidRDefault="008C60F4">
      <w:pPr>
        <w:rPr>
          <w:rFonts w:ascii="Times New Roman" w:eastAsia="Times New Roman" w:hAnsi="Times New Roman" w:cs="Times New Roman"/>
          <w:sz w:val="24"/>
          <w:szCs w:val="24"/>
        </w:rPr>
      </w:pPr>
    </w:p>
    <w:p w14:paraId="5920862C"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What ‘Fuellocation ID’ Identifies</w:t>
      </w:r>
    </w:p>
    <w:p w14:paraId="4FC83567" w14:textId="77777777" w:rsidR="008C60F4"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Fuellocation ID identifies the </w:t>
      </w:r>
      <w:r>
        <w:rPr>
          <w:rFonts w:ascii="Times New Roman" w:eastAsia="Times New Roman" w:hAnsi="Times New Roman" w:cs="Times New Roman"/>
          <w:i/>
          <w:sz w:val="24"/>
          <w:szCs w:val="24"/>
        </w:rPr>
        <w:t xml:space="preserve">Location </w:t>
      </w:r>
      <w:r>
        <w:rPr>
          <w:rFonts w:ascii="Times New Roman" w:eastAsia="Times New Roman" w:hAnsi="Times New Roman" w:cs="Times New Roman"/>
          <w:sz w:val="24"/>
          <w:szCs w:val="24"/>
        </w:rPr>
        <w:t xml:space="preserve">of a gas station–denoted by its Latitude/Longitude coordinates. It does </w:t>
      </w:r>
      <w:r>
        <w:rPr>
          <w:rFonts w:ascii="Times New Roman" w:eastAsia="Times New Roman" w:hAnsi="Times New Roman" w:cs="Times New Roman"/>
          <w:i/>
          <w:sz w:val="24"/>
          <w:szCs w:val="24"/>
        </w:rPr>
        <w:t xml:space="preserve">not </w:t>
      </w:r>
      <w:r>
        <w:rPr>
          <w:rFonts w:ascii="Times New Roman" w:eastAsia="Times New Roman" w:hAnsi="Times New Roman" w:cs="Times New Roman"/>
          <w:sz w:val="24"/>
          <w:szCs w:val="24"/>
        </w:rPr>
        <w:t xml:space="preserve">uniquely identify the ownership/brand + location of a gas station. </w:t>
      </w:r>
      <w:r>
        <w:rPr>
          <w:rFonts w:ascii="Times New Roman" w:eastAsia="Times New Roman" w:hAnsi="Times New Roman" w:cs="Times New Roman"/>
          <w:b/>
          <w:sz w:val="24"/>
          <w:szCs w:val="24"/>
        </w:rPr>
        <w:t>If a gas station changes ownership but remains in the same physical location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its Fuellocation ID variable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won’t change.</w:t>
      </w:r>
    </w:p>
    <w:p w14:paraId="4EB58E14" w14:textId="77777777" w:rsidR="008C60F4" w:rsidRDefault="008C60F4">
      <w:pPr>
        <w:rPr>
          <w:rFonts w:ascii="Times New Roman" w:eastAsia="Times New Roman" w:hAnsi="Times New Roman" w:cs="Times New Roman"/>
          <w:b/>
          <w:sz w:val="24"/>
          <w:szCs w:val="24"/>
        </w:rPr>
      </w:pPr>
    </w:p>
    <w:p w14:paraId="2618710E"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capture changes in ownership, I crafted a new ID variable, ‘Unique ID’ which combines information from ‘Fuellocation ID’ and ‘Store Brand’. The biggest difference between the two ID variables are one-month spikes in the ‘Unique ID’ count; these occur because this new ID ‘double counts’ stations that change ownership within a month.</w:t>
      </w:r>
      <w:r>
        <w:rPr>
          <w:rFonts w:ascii="Times New Roman" w:eastAsia="Times New Roman" w:hAnsi="Times New Roman" w:cs="Times New Roman"/>
          <w:sz w:val="24"/>
          <w:szCs w:val="24"/>
          <w:vertAlign w:val="superscript"/>
        </w:rPr>
        <w:footnoteReference w:id="1"/>
      </w:r>
    </w:p>
    <w:p w14:paraId="12B5ED1F" w14:textId="77777777" w:rsidR="008C60F4" w:rsidRDefault="008C60F4">
      <w:pPr>
        <w:rPr>
          <w:rFonts w:ascii="Times New Roman" w:eastAsia="Times New Roman" w:hAnsi="Times New Roman" w:cs="Times New Roman"/>
          <w:b/>
          <w:sz w:val="30"/>
          <w:szCs w:val="30"/>
        </w:rPr>
      </w:pPr>
    </w:p>
    <w:p w14:paraId="6856793A"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Defining The Inclusion Rule</w:t>
      </w:r>
    </w:p>
    <w:p w14:paraId="5875A466"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histogram showing the </w:t>
      </w:r>
      <w:r>
        <w:rPr>
          <w:rFonts w:ascii="Times New Roman" w:eastAsia="Times New Roman" w:hAnsi="Times New Roman" w:cs="Times New Roman"/>
          <w:sz w:val="24"/>
          <w:szCs w:val="24"/>
          <w:u w:val="single"/>
        </w:rPr>
        <w:t>cumulative relative</w:t>
      </w:r>
      <w:r>
        <w:rPr>
          <w:rFonts w:ascii="Times New Roman" w:eastAsia="Times New Roman" w:hAnsi="Times New Roman" w:cs="Times New Roman"/>
          <w:sz w:val="24"/>
          <w:szCs w:val="24"/>
        </w:rPr>
        <w:t xml:space="preserve"> frequency for the number of non-missing observations per </w:t>
      </w:r>
      <w:r>
        <w:rPr>
          <w:rFonts w:ascii="Times New Roman" w:eastAsia="Times New Roman" w:hAnsi="Times New Roman" w:cs="Times New Roman"/>
          <w:i/>
          <w:sz w:val="24"/>
          <w:szCs w:val="24"/>
        </w:rPr>
        <w:t xml:space="preserve">week </w:t>
      </w:r>
      <w:r>
        <w:rPr>
          <w:rFonts w:ascii="Times New Roman" w:eastAsia="Times New Roman" w:hAnsi="Times New Roman" w:cs="Times New Roman"/>
          <w:sz w:val="24"/>
          <w:szCs w:val="24"/>
        </w:rPr>
        <w:t xml:space="preserve">for Los Angeles and Mountain View. To interpret the graphs, for example in LA, less than 20% of all year-weeks with observed gas station data have 5 or fewer non-missing observations. Therefore, I set the inclusion rule to the requirement that a gas station, for </w:t>
      </w:r>
      <w:r>
        <w:rPr>
          <w:rFonts w:ascii="Times New Roman" w:eastAsia="Times New Roman" w:hAnsi="Times New Roman" w:cs="Times New Roman"/>
          <w:sz w:val="24"/>
          <w:szCs w:val="24"/>
        </w:rPr>
        <w:lastRenderedPageBreak/>
        <w:t>a given week of data, contain at least 5 non-missing observations of price. The rest of the data works with data filtered as such.</w:t>
      </w:r>
      <w:r>
        <w:rPr>
          <w:noProof/>
        </w:rPr>
        <w:drawing>
          <wp:anchor distT="114300" distB="114300" distL="114300" distR="114300" simplePos="0" relativeHeight="251658240" behindDoc="0" locked="0" layoutInCell="1" hidden="0" allowOverlap="1" wp14:anchorId="6B1BC8AE" wp14:editId="23EEA7EF">
            <wp:simplePos x="0" y="0"/>
            <wp:positionH relativeFrom="column">
              <wp:posOffset>-123824</wp:posOffset>
            </wp:positionH>
            <wp:positionV relativeFrom="paragraph">
              <wp:posOffset>1313966</wp:posOffset>
            </wp:positionV>
            <wp:extent cx="3462338" cy="2069351"/>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462338" cy="2069351"/>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5AD44E2" wp14:editId="33384966">
            <wp:simplePos x="0" y="0"/>
            <wp:positionH relativeFrom="column">
              <wp:posOffset>3067050</wp:posOffset>
            </wp:positionH>
            <wp:positionV relativeFrom="paragraph">
              <wp:posOffset>1352550</wp:posOffset>
            </wp:positionV>
            <wp:extent cx="3307749" cy="1986730"/>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307749" cy="1986730"/>
                    </a:xfrm>
                    <a:prstGeom prst="rect">
                      <a:avLst/>
                    </a:prstGeom>
                    <a:ln/>
                  </pic:spPr>
                </pic:pic>
              </a:graphicData>
            </a:graphic>
          </wp:anchor>
        </w:drawing>
      </w:r>
    </w:p>
    <w:p w14:paraId="3430C056" w14:textId="77777777" w:rsidR="008C60F4" w:rsidRDefault="008C60F4">
      <w:pPr>
        <w:jc w:val="center"/>
        <w:rPr>
          <w:rFonts w:ascii="Times New Roman" w:eastAsia="Times New Roman" w:hAnsi="Times New Roman" w:cs="Times New Roman"/>
          <w:sz w:val="24"/>
          <w:szCs w:val="24"/>
        </w:rPr>
      </w:pPr>
    </w:p>
    <w:p w14:paraId="4D4F7091"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Different Types of Exits/Entries</w:t>
      </w:r>
    </w:p>
    <w:p w14:paraId="7B9E55E5"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3 possible events that can occur to a gas station:</w:t>
      </w:r>
    </w:p>
    <w:p w14:paraId="04522FA0" w14:textId="77777777" w:rsidR="008C60F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Entry from nothing</w:t>
      </w:r>
    </w:p>
    <w:p w14:paraId="5FF9C326" w14:textId="77777777" w:rsidR="008C60F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occurs when there is a completely new location; i.e., if a station appears at a location at which there was previously not a gas station.</w:t>
      </w:r>
    </w:p>
    <w:p w14:paraId="0BC06139" w14:textId="77777777" w:rsidR="008C60F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Exit to nothing </w:t>
      </w:r>
    </w:p>
    <w:p w14:paraId="6E5E8811" w14:textId="77777777" w:rsidR="008C60F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occurs when there is no new gas station, under different ownership, that appears after the final observed instance of a gas station.</w:t>
      </w:r>
    </w:p>
    <w:p w14:paraId="3B96F581" w14:textId="77777777" w:rsidR="008C60F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Ownership/brand change</w:t>
      </w:r>
    </w:p>
    <w:p w14:paraId="29551CF9" w14:textId="77777777" w:rsidR="008C60F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occurs when ‘station id’ changes but ‘Fuellocation ID’ doesn’t; i.e., the brand of the store changes while the physical location doesn’t.</w:t>
      </w:r>
    </w:p>
    <w:p w14:paraId="41453E65" w14:textId="77777777" w:rsidR="008C60F4" w:rsidRDefault="008C60F4">
      <w:pPr>
        <w:rPr>
          <w:rFonts w:ascii="Times New Roman" w:eastAsia="Times New Roman" w:hAnsi="Times New Roman" w:cs="Times New Roman"/>
          <w:sz w:val="24"/>
          <w:szCs w:val="24"/>
        </w:rPr>
      </w:pPr>
    </w:p>
    <w:p w14:paraId="18777C8A"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 Statistics Table</w:t>
      </w:r>
    </w:p>
    <w:p w14:paraId="3AF1776D"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table</w:t>
      </w:r>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 xml:space="preserve">is a summary statistics table, including </w:t>
      </w:r>
      <w:r>
        <w:rPr>
          <w:rFonts w:ascii="Times New Roman" w:eastAsia="Times New Roman" w:hAnsi="Times New Roman" w:cs="Times New Roman"/>
          <w:i/>
          <w:sz w:val="24"/>
          <w:szCs w:val="24"/>
        </w:rPr>
        <w:t xml:space="preserve">only </w:t>
      </w:r>
      <w:r>
        <w:rPr>
          <w:rFonts w:ascii="Times New Roman" w:eastAsia="Times New Roman" w:hAnsi="Times New Roman" w:cs="Times New Roman"/>
          <w:sz w:val="24"/>
          <w:szCs w:val="24"/>
        </w:rPr>
        <w:t>Los Angeles:</w:t>
      </w:r>
      <w:r>
        <w:rPr>
          <w:noProof/>
        </w:rPr>
        <w:drawing>
          <wp:anchor distT="0" distB="0" distL="0" distR="0" simplePos="0" relativeHeight="251660288" behindDoc="0" locked="0" layoutInCell="1" hidden="0" allowOverlap="1" wp14:anchorId="1164A9D8" wp14:editId="5DD48A80">
            <wp:simplePos x="0" y="0"/>
            <wp:positionH relativeFrom="column">
              <wp:posOffset>-514349</wp:posOffset>
            </wp:positionH>
            <wp:positionV relativeFrom="paragraph">
              <wp:posOffset>299540</wp:posOffset>
            </wp:positionV>
            <wp:extent cx="6967538" cy="893036"/>
            <wp:effectExtent l="0" t="0" r="0" b="0"/>
            <wp:wrapSquare wrapText="bothSides" distT="0" distB="0" distL="0" distR="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967538" cy="893036"/>
                    </a:xfrm>
                    <a:prstGeom prst="rect">
                      <a:avLst/>
                    </a:prstGeom>
                    <a:ln/>
                  </pic:spPr>
                </pic:pic>
              </a:graphicData>
            </a:graphic>
          </wp:anchor>
        </w:drawing>
      </w:r>
    </w:p>
    <w:p w14:paraId="5C7F5A67"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Descriptive Maps</w:t>
      </w:r>
    </w:p>
    <w:p w14:paraId="1CBBF80A"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get a sense of geographical heterogeneity in the relative frequency of events, I put together the following maps for the Bay Area, which captures the % of unique gas stations undergoing a particular event on the county level. </w:t>
      </w:r>
    </w:p>
    <w:p w14:paraId="72274A35"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DD231D5" wp14:editId="43CE9058">
            <wp:extent cx="2928938" cy="253841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8450" t="5588" r="9389" b="5294"/>
                    <a:stretch>
                      <a:fillRect/>
                    </a:stretch>
                  </pic:blipFill>
                  <pic:spPr>
                    <a:xfrm>
                      <a:off x="0" y="0"/>
                      <a:ext cx="2928938" cy="25384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684633F" wp14:editId="7FE05B93">
            <wp:extent cx="2909888" cy="25321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7863" t="6093" r="10093" b="4466"/>
                    <a:stretch>
                      <a:fillRect/>
                    </a:stretch>
                  </pic:blipFill>
                  <pic:spPr>
                    <a:xfrm>
                      <a:off x="0" y="0"/>
                      <a:ext cx="2909888" cy="2532113"/>
                    </a:xfrm>
                    <a:prstGeom prst="rect">
                      <a:avLst/>
                    </a:prstGeom>
                    <a:ln/>
                  </pic:spPr>
                </pic:pic>
              </a:graphicData>
            </a:graphic>
          </wp:inline>
        </w:drawing>
      </w:r>
    </w:p>
    <w:p w14:paraId="6856C465"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2601A0" wp14:editId="16192E45">
            <wp:extent cx="3057525" cy="263188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8573" t="6600" r="9455" b="5200"/>
                    <a:stretch>
                      <a:fillRect/>
                    </a:stretch>
                  </pic:blipFill>
                  <pic:spPr>
                    <a:xfrm>
                      <a:off x="0" y="0"/>
                      <a:ext cx="3057525" cy="2631883"/>
                    </a:xfrm>
                    <a:prstGeom prst="rect">
                      <a:avLst/>
                    </a:prstGeom>
                    <a:ln/>
                  </pic:spPr>
                </pic:pic>
              </a:graphicData>
            </a:graphic>
          </wp:inline>
        </w:drawing>
      </w:r>
    </w:p>
    <w:p w14:paraId="63B93B2B"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Event Study Dataset Creation</w:t>
      </w:r>
    </w:p>
    <w:p w14:paraId="541FD0B7"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I’ve successfully created code that, for each firm, pulls all stations that are within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miles of the station undergoing the event. For now, I am focusing on stations within a 1- and 5-mile radius of the station that is directly undergoing the event, where there station undergoing the event is the center.</w:t>
      </w:r>
    </w:p>
    <w:p w14:paraId="6396CC21" w14:textId="77777777" w:rsidR="008C60F4" w:rsidRDefault="008C60F4">
      <w:pPr>
        <w:rPr>
          <w:rFonts w:ascii="Times New Roman" w:eastAsia="Times New Roman" w:hAnsi="Times New Roman" w:cs="Times New Roman"/>
          <w:sz w:val="24"/>
          <w:szCs w:val="24"/>
        </w:rPr>
      </w:pPr>
    </w:p>
    <w:p w14:paraId="2B21EB0D"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series of tables capturing summary statistics for firms directly undergoing events, and those within these donuts by event specifically for Los Angeles. I focus on Los Angeles because of the computation expense of running this analysis; we are working to get access to Stanford’s high-power computer cluster and then we will be able to run this code for statewide data.</w:t>
      </w:r>
    </w:p>
    <w:p w14:paraId="4F431C20" w14:textId="77777777" w:rsidR="008C60F4"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F10CA0E" wp14:editId="222475BF">
            <wp:extent cx="5943600" cy="6858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6858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6BC5E11F" wp14:editId="215A6012">
            <wp:extent cx="5943600" cy="609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6096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324451E" wp14:editId="417C5AAD">
            <wp:extent cx="5943600" cy="584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584200"/>
                    </a:xfrm>
                    <a:prstGeom prst="rect">
                      <a:avLst/>
                    </a:prstGeom>
                    <a:ln/>
                  </pic:spPr>
                </pic:pic>
              </a:graphicData>
            </a:graphic>
          </wp:inline>
        </w:drawing>
      </w:r>
    </w:p>
    <w:p w14:paraId="5C9ADFA0" w14:textId="77777777" w:rsidR="008C60F4" w:rsidRDefault="008C60F4">
      <w:pPr>
        <w:rPr>
          <w:rFonts w:ascii="Times New Roman" w:eastAsia="Times New Roman" w:hAnsi="Times New Roman" w:cs="Times New Roman"/>
          <w:b/>
          <w:sz w:val="24"/>
          <w:szCs w:val="24"/>
        </w:rPr>
      </w:pPr>
    </w:p>
    <w:p w14:paraId="3C81DB76"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Price Behavior Around Events</w:t>
      </w:r>
    </w:p>
    <w:p w14:paraId="5CCD0BA4"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tables merely present </w:t>
      </w:r>
      <w:r>
        <w:rPr>
          <w:rFonts w:ascii="Times New Roman" w:eastAsia="Times New Roman" w:hAnsi="Times New Roman" w:cs="Times New Roman"/>
          <w:i/>
          <w:sz w:val="24"/>
          <w:szCs w:val="24"/>
        </w:rPr>
        <w:t xml:space="preserve">static </w:t>
      </w:r>
      <w:r>
        <w:rPr>
          <w:rFonts w:ascii="Times New Roman" w:eastAsia="Times New Roman" w:hAnsi="Times New Roman" w:cs="Times New Roman"/>
          <w:sz w:val="24"/>
          <w:szCs w:val="24"/>
        </w:rPr>
        <w:t xml:space="preserve">summary statistics; they give us no indication of the </w:t>
      </w:r>
      <w:r>
        <w:rPr>
          <w:rFonts w:ascii="Times New Roman" w:eastAsia="Times New Roman" w:hAnsi="Times New Roman" w:cs="Times New Roman"/>
          <w:i/>
          <w:sz w:val="24"/>
          <w:szCs w:val="24"/>
        </w:rPr>
        <w:t xml:space="preserve">dynamic </w:t>
      </w:r>
      <w:r>
        <w:rPr>
          <w:rFonts w:ascii="Times New Roman" w:eastAsia="Times New Roman" w:hAnsi="Times New Roman" w:cs="Times New Roman"/>
          <w:sz w:val="24"/>
          <w:szCs w:val="24"/>
        </w:rPr>
        <w:t xml:space="preserve">pricing behavior of firms undergoing events or the firms within their donuts around events. For this, I plot the average prices for firms undergoing events and those within a 1-mile or 5-mile radius, by relative week (relative to the event occurring). </w:t>
      </w:r>
    </w:p>
    <w:p w14:paraId="4144813F" w14:textId="77777777" w:rsidR="008C60F4" w:rsidRDefault="008C60F4">
      <w:pPr>
        <w:rPr>
          <w:rFonts w:ascii="Times New Roman" w:eastAsia="Times New Roman" w:hAnsi="Times New Roman" w:cs="Times New Roman"/>
          <w:sz w:val="24"/>
          <w:szCs w:val="24"/>
        </w:rPr>
      </w:pPr>
    </w:p>
    <w:p w14:paraId="7C1F3296"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figures below suggest that: 1) entering firms have lower prices than those near them; 2) firms with brand changes typically have higher prices before the brand change, lower prices immediately after the brand change that converge with prices of stations near them; and 3) firms that exit to nothing have lower prices until about 20 weeks prior to exiting, at which their prices appear very similar to those near them, and then immediately before exiting they look to have higher prices.</w:t>
      </w:r>
      <w:r>
        <w:rPr>
          <w:rFonts w:ascii="Times New Roman" w:eastAsia="Times New Roman" w:hAnsi="Times New Roman" w:cs="Times New Roman"/>
          <w:b/>
          <w:noProof/>
          <w:sz w:val="24"/>
          <w:szCs w:val="24"/>
        </w:rPr>
        <w:drawing>
          <wp:inline distT="114300" distB="114300" distL="114300" distR="114300" wp14:anchorId="5AAF8353" wp14:editId="1A4DF73F">
            <wp:extent cx="5481638" cy="3294253"/>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481638" cy="3294253"/>
                    </a:xfrm>
                    <a:prstGeom prst="rect">
                      <a:avLst/>
                    </a:prstGeom>
                    <a:ln/>
                  </pic:spPr>
                </pic:pic>
              </a:graphicData>
            </a:graphic>
          </wp:inline>
        </w:drawing>
      </w:r>
    </w:p>
    <w:p w14:paraId="53E4A97D" w14:textId="77777777" w:rsidR="008C60F4" w:rsidRDefault="00000000">
      <w:pP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rPr>
        <w:lastRenderedPageBreak/>
        <w:drawing>
          <wp:inline distT="114300" distB="114300" distL="114300" distR="114300" wp14:anchorId="3C12FB89" wp14:editId="3F4893D5">
            <wp:extent cx="5538788" cy="332859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538788" cy="3328598"/>
                    </a:xfrm>
                    <a:prstGeom prst="rect">
                      <a:avLst/>
                    </a:prstGeom>
                    <a:ln/>
                  </pic:spPr>
                </pic:pic>
              </a:graphicData>
            </a:graphic>
          </wp:inline>
        </w:drawing>
      </w:r>
    </w:p>
    <w:p w14:paraId="06470A23"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E5C1CC8" wp14:editId="0EC90CA9">
            <wp:extent cx="5943600" cy="3568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568700"/>
                    </a:xfrm>
                    <a:prstGeom prst="rect">
                      <a:avLst/>
                    </a:prstGeom>
                    <a:ln/>
                  </pic:spPr>
                </pic:pic>
              </a:graphicData>
            </a:graphic>
          </wp:inline>
        </w:drawing>
      </w:r>
    </w:p>
    <w:p w14:paraId="6E5C9F81" w14:textId="77777777" w:rsidR="008C60F4" w:rsidRDefault="008C60F4">
      <w:pPr>
        <w:rPr>
          <w:rFonts w:ascii="Times New Roman" w:eastAsia="Times New Roman" w:hAnsi="Times New Roman" w:cs="Times New Roman"/>
          <w:sz w:val="24"/>
          <w:szCs w:val="24"/>
        </w:rPr>
      </w:pPr>
    </w:p>
    <w:p w14:paraId="725FF9F1"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Transition Matrix</w:t>
      </w:r>
    </w:p>
    <w:p w14:paraId="670489E9"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I’ve created a transition matrix, which captures the relative frequency of brand changes by pre- and post-change brands, to the 5 most common brands, + ‘unbranded’ </w:t>
      </w:r>
      <w:r>
        <w:rPr>
          <w:rFonts w:ascii="Times New Roman" w:eastAsia="Times New Roman" w:hAnsi="Times New Roman" w:cs="Times New Roman"/>
          <w:sz w:val="24"/>
          <w:szCs w:val="24"/>
          <w:u w:val="single"/>
        </w:rPr>
        <w:t>with at least one brand change</w:t>
      </w:r>
      <w:r>
        <w:rPr>
          <w:rFonts w:ascii="Times New Roman" w:eastAsia="Times New Roman" w:hAnsi="Times New Roman" w:cs="Times New Roman"/>
          <w:sz w:val="24"/>
          <w:szCs w:val="24"/>
        </w:rPr>
        <w:t xml:space="preserve"> for Los Angeles. For example, 0.44% of all brand changes in Los Angeles were </w:t>
      </w:r>
      <w:r>
        <w:rPr>
          <w:rFonts w:ascii="Times New Roman" w:eastAsia="Times New Roman" w:hAnsi="Times New Roman" w:cs="Times New Roman"/>
          <w:sz w:val="24"/>
          <w:szCs w:val="24"/>
        </w:rPr>
        <w:lastRenderedPageBreak/>
        <w:t>stations switching from Arco to Shell. 4.37% of brand changes in Los Angeles were stations switching from Arco to Unbranded.</w:t>
      </w:r>
    </w:p>
    <w:p w14:paraId="342B971F"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F7675D" wp14:editId="1B454EED">
            <wp:extent cx="5453063" cy="1441916"/>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453063" cy="1441916"/>
                    </a:xfrm>
                    <a:prstGeom prst="rect">
                      <a:avLst/>
                    </a:prstGeom>
                    <a:ln/>
                  </pic:spPr>
                </pic:pic>
              </a:graphicData>
            </a:graphic>
          </wp:inline>
        </w:drawing>
      </w:r>
    </w:p>
    <w:p w14:paraId="0751542F"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the large shares of stations transition </w:t>
      </w:r>
      <w:r>
        <w:rPr>
          <w:rFonts w:ascii="Times New Roman" w:eastAsia="Times New Roman" w:hAnsi="Times New Roman" w:cs="Times New Roman"/>
          <w:i/>
          <w:sz w:val="24"/>
          <w:szCs w:val="24"/>
        </w:rPr>
        <w:t xml:space="preserve">to </w:t>
      </w:r>
      <w:r>
        <w:rPr>
          <w:rFonts w:ascii="Times New Roman" w:eastAsia="Times New Roman" w:hAnsi="Times New Roman" w:cs="Times New Roman"/>
          <w:sz w:val="24"/>
          <w:szCs w:val="24"/>
        </w:rPr>
        <w:t xml:space="preserve">being unbranded, while among the top 5 brands, there is not a single brand change where a station transitions </w:t>
      </w:r>
      <w:r>
        <w:rPr>
          <w:rFonts w:ascii="Times New Roman" w:eastAsia="Times New Roman" w:hAnsi="Times New Roman" w:cs="Times New Roman"/>
          <w:i/>
          <w:sz w:val="24"/>
          <w:szCs w:val="24"/>
        </w:rPr>
        <w:t xml:space="preserve">from </w:t>
      </w:r>
      <w:r>
        <w:rPr>
          <w:rFonts w:ascii="Times New Roman" w:eastAsia="Times New Roman" w:hAnsi="Times New Roman" w:cs="Times New Roman"/>
          <w:sz w:val="24"/>
          <w:szCs w:val="24"/>
        </w:rPr>
        <w:t>being unbranded to being branded.</w:t>
      </w:r>
    </w:p>
    <w:p w14:paraId="56175355" w14:textId="77777777" w:rsidR="008C60F4" w:rsidRDefault="008C60F4">
      <w:pPr>
        <w:rPr>
          <w:rFonts w:ascii="Times New Roman" w:eastAsia="Times New Roman" w:hAnsi="Times New Roman" w:cs="Times New Roman"/>
          <w:sz w:val="24"/>
          <w:szCs w:val="24"/>
        </w:rPr>
      </w:pPr>
    </w:p>
    <w:p w14:paraId="57E4CFED"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here is a table with the relative frequency of each brands among gas stations in Los Angeles:</w:t>
      </w:r>
    </w:p>
    <w:p w14:paraId="00098E18"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4CF1A267" wp14:editId="6CF02E1F">
            <wp:extent cx="5129213" cy="3953768"/>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129213" cy="3953768"/>
                    </a:xfrm>
                    <a:prstGeom prst="rect">
                      <a:avLst/>
                    </a:prstGeom>
                    <a:ln/>
                  </pic:spPr>
                </pic:pic>
              </a:graphicData>
            </a:graphic>
          </wp:inline>
        </w:drawing>
      </w:r>
    </w:p>
    <w:p w14:paraId="099CDDC7" w14:textId="77777777" w:rsidR="008C60F4" w:rsidRDefault="008C60F4">
      <w:pPr>
        <w:rPr>
          <w:rFonts w:ascii="Times New Roman" w:eastAsia="Times New Roman" w:hAnsi="Times New Roman" w:cs="Times New Roman"/>
          <w:b/>
          <w:sz w:val="30"/>
          <w:szCs w:val="30"/>
        </w:rPr>
      </w:pPr>
    </w:p>
    <w:p w14:paraId="61F4D177" w14:textId="77777777" w:rsidR="008C60F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Hypermarket/Branded Bargain Stations Definition</w:t>
      </w:r>
    </w:p>
    <w:p w14:paraId="0814B63E"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CEC/CDTFA working definition of a hypermarket is a store/brand who primarily sells something other than gasoline, i.e. large retailers that sell branded gasoline at very low prices relative to </w:t>
      </w:r>
      <w:r>
        <w:rPr>
          <w:rFonts w:ascii="Times New Roman" w:eastAsia="Times New Roman" w:hAnsi="Times New Roman" w:cs="Times New Roman"/>
          <w:i/>
          <w:sz w:val="24"/>
          <w:szCs w:val="24"/>
        </w:rPr>
        <w:t xml:space="preserve">both </w:t>
      </w:r>
      <w:r>
        <w:rPr>
          <w:rFonts w:ascii="Times New Roman" w:eastAsia="Times New Roman" w:hAnsi="Times New Roman" w:cs="Times New Roman"/>
          <w:sz w:val="24"/>
          <w:szCs w:val="24"/>
        </w:rPr>
        <w:t xml:space="preserve">branded and unbranded gasoline. </w:t>
      </w:r>
    </w:p>
    <w:p w14:paraId="1DA01B07" w14:textId="77777777" w:rsidR="008C60F4" w:rsidRDefault="008C60F4">
      <w:pPr>
        <w:rPr>
          <w:rFonts w:ascii="Times New Roman" w:eastAsia="Times New Roman" w:hAnsi="Times New Roman" w:cs="Times New Roman"/>
          <w:sz w:val="24"/>
          <w:szCs w:val="24"/>
        </w:rPr>
      </w:pPr>
    </w:p>
    <w:p w14:paraId="22399F5B"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all brands within Los Angeles, here are the following that under the above definition I would consider a hypermarket (with the number of stations belonging to each brand in parentheses):</w:t>
      </w:r>
    </w:p>
    <w:p w14:paraId="17A3284C" w14:textId="77777777" w:rsidR="008C60F4"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Costco (2 stations)</w:t>
      </w:r>
    </w:p>
    <w:p w14:paraId="694DB4F6" w14:textId="77777777" w:rsidR="008C60F4"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Food 4 Less (1 station)</w:t>
      </w:r>
    </w:p>
    <w:p w14:paraId="65243AE6" w14:textId="77777777" w:rsidR="008C60F4"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Ralphs / Kroger (1 station)</w:t>
      </w:r>
    </w:p>
    <w:p w14:paraId="39F47B39" w14:textId="77777777" w:rsidR="008C60F4" w:rsidRDefault="008C60F4">
      <w:pPr>
        <w:rPr>
          <w:rFonts w:ascii="Times New Roman" w:eastAsia="Times New Roman" w:hAnsi="Times New Roman" w:cs="Times New Roman"/>
          <w:sz w:val="24"/>
          <w:szCs w:val="24"/>
        </w:rPr>
      </w:pPr>
    </w:p>
    <w:p w14:paraId="7328023C"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the price characteristics of these stations, I have plotted below the average retail prices over time for 1) these hypermarkets, 2) all branded gasoline stations, and 3) all unbranded gasoline stations in Los Angeles:</w:t>
      </w:r>
    </w:p>
    <w:p w14:paraId="60EAB167"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2639E5" wp14:editId="3687EFEB">
            <wp:extent cx="4547301" cy="3418694"/>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547301" cy="3418694"/>
                    </a:xfrm>
                    <a:prstGeom prst="rect">
                      <a:avLst/>
                    </a:prstGeom>
                    <a:ln/>
                  </pic:spPr>
                </pic:pic>
              </a:graphicData>
            </a:graphic>
          </wp:inline>
        </w:drawing>
      </w:r>
    </w:p>
    <w:p w14:paraId="26A4B521"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problem with moving forward with this designation is that it leaves with an incredibly small sample of hypermarkets to analyze, specifically 4 stations. Thus, another approach is to define “</w:t>
      </w:r>
      <w:commentRangeStart w:id="0"/>
      <w:r>
        <w:rPr>
          <w:rFonts w:ascii="Times New Roman" w:eastAsia="Times New Roman" w:hAnsi="Times New Roman" w:cs="Times New Roman"/>
          <w:sz w:val="24"/>
          <w:szCs w:val="24"/>
        </w:rPr>
        <w:t>branded bargain stations</w:t>
      </w:r>
      <w:commentRangeEnd w:id="0"/>
      <w:r>
        <w:commentReference w:id="0"/>
      </w:r>
      <w:r>
        <w:rPr>
          <w:rFonts w:ascii="Times New Roman" w:eastAsia="Times New Roman" w:hAnsi="Times New Roman" w:cs="Times New Roman"/>
          <w:sz w:val="24"/>
          <w:szCs w:val="24"/>
        </w:rPr>
        <w:t>” by their relationship to the average unbranded price.</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Below I plot the average price spread [(branded average) - (subsample average)], by different restrictions on prices:</w:t>
      </w:r>
    </w:p>
    <w:p w14:paraId="17C57E5E"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0BC92A" wp14:editId="17310BFA">
            <wp:extent cx="3819525" cy="2862449"/>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819525" cy="2862449"/>
                    </a:xfrm>
                    <a:prstGeom prst="rect">
                      <a:avLst/>
                    </a:prstGeom>
                    <a:ln/>
                  </pic:spPr>
                </pic:pic>
              </a:graphicData>
            </a:graphic>
          </wp:inline>
        </w:drawing>
      </w:r>
    </w:p>
    <w:p w14:paraId="0E8DABA7" w14:textId="77777777" w:rsidR="008C60F4" w:rsidRDefault="008C60F4">
      <w:pPr>
        <w:jc w:val="center"/>
        <w:rPr>
          <w:rFonts w:ascii="Times New Roman" w:eastAsia="Times New Roman" w:hAnsi="Times New Roman" w:cs="Times New Roman"/>
          <w:sz w:val="24"/>
          <w:szCs w:val="24"/>
        </w:rPr>
      </w:pPr>
    </w:p>
    <w:p w14:paraId="6BFECE6D"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expanded definition also gives us a much larger sample to work with; below I’ve plotted the share of all the gas stations in Los Angeles that would satisfy each of the requirements describe above:</w:t>
      </w:r>
    </w:p>
    <w:p w14:paraId="2942249C"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A546BE" wp14:editId="1297C776">
            <wp:extent cx="4652963" cy="3489722"/>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652963" cy="3489722"/>
                    </a:xfrm>
                    <a:prstGeom prst="rect">
                      <a:avLst/>
                    </a:prstGeom>
                    <a:ln/>
                  </pic:spPr>
                </pic:pic>
              </a:graphicData>
            </a:graphic>
          </wp:inline>
        </w:drawing>
      </w:r>
    </w:p>
    <w:p w14:paraId="698335A2"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visualize the geographical distribution of these hypermarkets in comparison to all gas stations with the following scatterplot (in the following scatterplot, a hypermarket is defined using the 0.5*standard deviation requirement explained above). </w:t>
      </w:r>
    </w:p>
    <w:p w14:paraId="69AD7432" w14:textId="77777777" w:rsidR="008C60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CBA493" wp14:editId="167589C6">
            <wp:extent cx="4205288" cy="3153966"/>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205288" cy="3153966"/>
                    </a:xfrm>
                    <a:prstGeom prst="rect">
                      <a:avLst/>
                    </a:prstGeom>
                    <a:ln/>
                  </pic:spPr>
                </pic:pic>
              </a:graphicData>
            </a:graphic>
          </wp:inline>
        </w:drawing>
      </w:r>
    </w:p>
    <w:p w14:paraId="3E4F9508"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scatterplot suggests to me that there is a bias to the geographic distribution of the “Branded Bargain Stations”; this may be because we’re comparing these stations to the city-wide average, so they’re concentrated in lower-priced parts of the city. One way to refine and make more precise this inclusion requirement is to compare stations’ prices only to those within 5 miles; for example, we could classify as a “branded bargain station” any gas station that sells at least 0.5 standard deviations below the average retail price for all unbranded stations within 5 miles. We are open to suggestions as to how to define the “branded bargain stations”. </w:t>
      </w:r>
    </w:p>
    <w:p w14:paraId="0E1518D8" w14:textId="77777777" w:rsidR="008C60F4" w:rsidRDefault="008C60F4">
      <w:pPr>
        <w:rPr>
          <w:rFonts w:ascii="Times New Roman" w:eastAsia="Times New Roman" w:hAnsi="Times New Roman" w:cs="Times New Roman"/>
          <w:sz w:val="24"/>
          <w:szCs w:val="24"/>
        </w:rPr>
      </w:pPr>
    </w:p>
    <w:p w14:paraId="5A66CE24"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can check if there is sufficient variation in event occurrence among these branded bargain stations (using the 0.5 standard deviations below the unbranded average criterion):</w:t>
      </w:r>
    </w:p>
    <w:p w14:paraId="34FF1358"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3339C3" wp14:editId="663BB698">
            <wp:extent cx="5943600" cy="10668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1066800"/>
                    </a:xfrm>
                    <a:prstGeom prst="rect">
                      <a:avLst/>
                    </a:prstGeom>
                    <a:ln/>
                  </pic:spPr>
                </pic:pic>
              </a:graphicData>
            </a:graphic>
          </wp:inline>
        </w:drawing>
      </w:r>
    </w:p>
    <w:p w14:paraId="3895EFC2" w14:textId="77777777" w:rsidR="008C60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suggests that stations entering from nothing are over-represented among the branded bargain stations; this makes a great deal of intuitive sense, since, as we’ve seen in the price dynamics graphs, it appears entering stations try to undercut competitors’ prices.</w:t>
      </w:r>
    </w:p>
    <w:sectPr w:rsidR="008C60F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aniel Karsten Posthumus" w:date="2024-12-11T20:46:00Z" w:initials="">
    <w:p w14:paraId="1BD8CD5F" w14:textId="77777777" w:rsidR="008C60F4" w:rsidRDefault="00000000">
      <w:pPr>
        <w:widowControl w:val="0"/>
        <w:pBdr>
          <w:top w:val="nil"/>
          <w:left w:val="nil"/>
          <w:bottom w:val="nil"/>
          <w:right w:val="nil"/>
          <w:between w:val="nil"/>
        </w:pBdr>
        <w:spacing w:line="240" w:lineRule="auto"/>
        <w:rPr>
          <w:color w:val="000000"/>
        </w:rPr>
      </w:pPr>
      <w:r>
        <w:rPr>
          <w:color w:val="000000"/>
        </w:rPr>
        <w:t>Not sure if this is the name we want to go with; CDTFA said we should find a new name/designation for this expanded price-based definition, as also calling them hypermarkets would be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BD8CD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BD8CD5F" w16cid:durableId="1096F5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5785D" w14:textId="77777777" w:rsidR="00866389" w:rsidRDefault="00866389">
      <w:pPr>
        <w:spacing w:line="240" w:lineRule="auto"/>
      </w:pPr>
      <w:r>
        <w:separator/>
      </w:r>
    </w:p>
  </w:endnote>
  <w:endnote w:type="continuationSeparator" w:id="0">
    <w:p w14:paraId="1243FB5A" w14:textId="77777777" w:rsidR="00866389" w:rsidRDefault="00866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7A135" w14:textId="77777777" w:rsidR="00866389" w:rsidRDefault="00866389">
      <w:pPr>
        <w:spacing w:line="240" w:lineRule="auto"/>
      </w:pPr>
      <w:r>
        <w:separator/>
      </w:r>
    </w:p>
  </w:footnote>
  <w:footnote w:type="continuationSeparator" w:id="0">
    <w:p w14:paraId="49BD1B3E" w14:textId="77777777" w:rsidR="00866389" w:rsidRDefault="00866389">
      <w:pPr>
        <w:spacing w:line="240" w:lineRule="auto"/>
      </w:pPr>
      <w:r>
        <w:continuationSeparator/>
      </w:r>
    </w:p>
  </w:footnote>
  <w:footnote w:id="1">
    <w:p w14:paraId="1D2E5530" w14:textId="77777777" w:rsidR="008C60F4"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Consider a station owned by Shell that changes ownership halfway through the month to Texaco and has six observations under Shell’s ownership and 12 observations under Texaco’s. Previously, using only location this would be identified as only one unique station for that month. Now, using ownership and location, this is identified as two unique stations for that month.</w:t>
      </w:r>
    </w:p>
  </w:footnote>
  <w:footnote w:id="2">
    <w:p w14:paraId="1586E636" w14:textId="77777777" w:rsidR="008C60F4"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Our preferred requirement is that a branded gasoline station sell at least 0.5 standard deviations below the unbranded average for all of Los Angeles on at least 50% of days in the data. I also plot the average price spreads for 1) stations that sell below the unbranded average for all of Los Angeles on at least 50% of days in the data and 2) stations that sell at least 1.96 standard deviations below the unbranded average on at least 50% of days in the data.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64080"/>
    <w:multiLevelType w:val="multilevel"/>
    <w:tmpl w:val="4356B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774AC8"/>
    <w:multiLevelType w:val="multilevel"/>
    <w:tmpl w:val="5D70E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B67890"/>
    <w:multiLevelType w:val="multilevel"/>
    <w:tmpl w:val="1C2E72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326D9D"/>
    <w:multiLevelType w:val="multilevel"/>
    <w:tmpl w:val="F6D4B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8021257">
    <w:abstractNumId w:val="2"/>
  </w:num>
  <w:num w:numId="2" w16cid:durableId="1909681986">
    <w:abstractNumId w:val="0"/>
  </w:num>
  <w:num w:numId="3" w16cid:durableId="1904679793">
    <w:abstractNumId w:val="1"/>
  </w:num>
  <w:num w:numId="4" w16cid:durableId="140996106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niel Karsten Posthumus">
    <w15:presenceInfo w15:providerId="AD" w15:userId="S::danpost@stanford.edu::d7773fd7-41d0-4efd-976d-f171287c9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0F4"/>
    <w:rsid w:val="00066DD3"/>
    <w:rsid w:val="00120BDD"/>
    <w:rsid w:val="0027755A"/>
    <w:rsid w:val="00330E00"/>
    <w:rsid w:val="00376421"/>
    <w:rsid w:val="004F460F"/>
    <w:rsid w:val="007D1B7B"/>
    <w:rsid w:val="00866389"/>
    <w:rsid w:val="008C60F4"/>
    <w:rsid w:val="00A4689E"/>
    <w:rsid w:val="00A71C8C"/>
    <w:rsid w:val="00C95F6C"/>
    <w:rsid w:val="00CD66B0"/>
    <w:rsid w:val="00D876E2"/>
    <w:rsid w:val="00E35403"/>
    <w:rsid w:val="00F32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C6F090"/>
  <w15:docId w15:val="{888C08D7-0EB2-5042-BF49-B0333D00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microsoft.com/office/2011/relationships/commentsExtended" Target="commentsExtended.xm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omments" Target="comments.xml"/><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1532</Words>
  <Characters>8735</Characters>
  <Application>Microsoft Office Word</Application>
  <DocSecurity>0</DocSecurity>
  <Lines>72</Lines>
  <Paragraphs>20</Paragraphs>
  <ScaleCrop>false</ScaleCrop>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Karsten Posthumus</cp:lastModifiedBy>
  <cp:revision>12</cp:revision>
  <dcterms:created xsi:type="dcterms:W3CDTF">2024-12-20T06:45:00Z</dcterms:created>
  <dcterms:modified xsi:type="dcterms:W3CDTF">2024-12-20T06:47:00Z</dcterms:modified>
</cp:coreProperties>
</file>