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r>
        <w:rPr>
          <w:b/>
        </w:rPr>
        <w:t xml:space="preserve">The following text is only a guideline: </w:t>
      </w:r>
      <w:r>
        <w:t>The data for DK_zucker2_0m-finalcif.cif were collected from a shock-cooled single crystal at 100(2) K.</w:t>
      </w:r>
      <w:r>
        <w:t>The data were collected on a Bruker D8 VENTURE dual wavelength Mo/Cu  with an microfocus sealed X-ray tube using mirror optics as monochromator. The diffractometer were equipped with an Oxford Cryostream 800 low temperature device and used MoK\a radiation, λ = 0.71073 Å.</w:t>
      </w:r>
    </w:p>
    <w:p>
      <w:pPr>
        <w:pStyle w:val="berschrift2"/>
      </w:pPr>
      <w:r>
        <w:t>Table 1. Crystal data and structure refinement for DK_zucker2_0m-finalcif.cif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 number</w:t>
            </w:r>
          </w:p>
        </w:tc>
        <w:tc>
          <w:tcPr>
            <w:tcW w:type="dxa" w:w="2835"/>
          </w:tcPr>
          <w:p>
            <w:r/>
          </w:p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 [K]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 [Å]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0.2×0.12×0.1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colourless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block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 [°]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25.242°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Parameters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DK_zucker2_0m-finalcif.cif.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835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