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FC481" w14:textId="77777777" w:rsidR="007D7CF0" w:rsidRPr="007D7CF0" w:rsidRDefault="007D7CF0" w:rsidP="007D7CF0">
      <w:pPr>
        <w:pStyle w:val="NormalWeb"/>
        <w:rPr>
          <w:rFonts w:ascii="Garamond" w:hAnsi="Garamond"/>
        </w:rPr>
      </w:pPr>
      <w:r w:rsidRPr="007D7CF0">
        <w:rPr>
          <w:rFonts w:ascii="Garamond" w:hAnsi="Garamond"/>
        </w:rPr>
        <w:t>Thanks, we pause for now. We're near session limit here and in the Claude Code chat. But we got a lot of other stuff fixed – including the crucial, indefensible alphabetical ordering. </w:t>
      </w:r>
    </w:p>
    <w:p w14:paraId="79E23A8A" w14:textId="77777777" w:rsidR="007D7CF0" w:rsidRPr="007D7CF0" w:rsidRDefault="007D7CF0" w:rsidP="007D7CF0">
      <w:pPr>
        <w:pStyle w:val="NormalWeb"/>
        <w:rPr>
          <w:rFonts w:ascii="Garamond" w:hAnsi="Garamond"/>
        </w:rPr>
      </w:pPr>
      <w:r w:rsidRPr="007D7CF0">
        <w:rPr>
          <w:rFonts w:ascii="Garamond" w:hAnsi="Garamond"/>
        </w:rPr>
        <w:t>Listing a few more bugs that I found / things to fix before hard launching—as soon as session credits reset: </w:t>
      </w:r>
    </w:p>
    <w:p w14:paraId="76ECAA61" w14:textId="77777777" w:rsidR="007D7CF0" w:rsidRPr="007D7CF0" w:rsidRDefault="007D7CF0" w:rsidP="007D7CF0">
      <w:pPr>
        <w:pStyle w:val="NormalWeb"/>
        <w:rPr>
          <w:rFonts w:ascii="Garamond" w:hAnsi="Garamond"/>
        </w:rPr>
      </w:pPr>
      <w:r w:rsidRPr="007D7CF0">
        <w:rPr>
          <w:rFonts w:ascii="Garamond" w:hAnsi="Garamond"/>
        </w:rPr>
        <w:t>(1) On some works, the Perseus viewer doesn't render. Aristotle's Metaphysics and Politics, notably. Every Plato dialogue I checked works. Aristotle's Rhetoric works. </w:t>
      </w:r>
    </w:p>
    <w:p w14:paraId="70513ACE" w14:textId="77777777" w:rsidR="007D7CF0" w:rsidRPr="007D7CF0" w:rsidRDefault="007D7CF0" w:rsidP="007D7CF0">
      <w:pPr>
        <w:pStyle w:val="NormalWeb"/>
        <w:rPr>
          <w:rFonts w:ascii="Garamond" w:hAnsi="Garamond"/>
        </w:rPr>
      </w:pPr>
      <w:r w:rsidRPr="007D7CF0">
        <w:rPr>
          <w:rFonts w:ascii="Garamond" w:hAnsi="Garamond"/>
        </w:rPr>
        <w:t xml:space="preserve">(2) The collision bands: double check we got the right numbers. It says 60-69 for Republic. What does that even mean? That's not a Stephanus number in Republic. Something's off. </w:t>
      </w:r>
    </w:p>
    <w:p w14:paraId="7749DC81" w14:textId="51376EB1" w:rsidR="007D7CF0" w:rsidRPr="007D7CF0" w:rsidRDefault="007D7CF0" w:rsidP="007D7CF0">
      <w:pPr>
        <w:pStyle w:val="NormalWeb"/>
        <w:rPr>
          <w:rFonts w:ascii="Garamond" w:hAnsi="Garamond"/>
        </w:rPr>
      </w:pPr>
      <w:r w:rsidRPr="007D7CF0">
        <w:rPr>
          <w:rFonts w:ascii="Garamond" w:hAnsi="Garamond"/>
        </w:rPr>
        <w:t xml:space="preserve">(3) Also, if the collision bands are marked in the bar chart, they're not really visible. Maybe because they are too thin? Maybe we need to accept that, above a certain length of work, the bar chart </w:t>
      </w:r>
      <w:r w:rsidR="00BA0B84">
        <w:rPr>
          <w:rFonts w:ascii="Garamond" w:hAnsi="Garamond"/>
        </w:rPr>
        <w:t xml:space="preserve">in the Passages viewer </w:t>
      </w:r>
      <w:r w:rsidRPr="007D7CF0">
        <w:rPr>
          <w:rFonts w:ascii="Garamond" w:hAnsi="Garamond"/>
        </w:rPr>
        <w:t>needs to be sideways scrollable, and each bar needs a realistically clickable width</w:t>
      </w:r>
      <w:r w:rsidR="00BA0B84">
        <w:rPr>
          <w:rFonts w:ascii="Garamond" w:hAnsi="Garamond"/>
        </w:rPr>
        <w:t>?</w:t>
      </w:r>
      <w:r w:rsidRPr="007D7CF0">
        <w:rPr>
          <w:rFonts w:ascii="Garamond" w:hAnsi="Garamond"/>
        </w:rPr>
        <w:t xml:space="preserve"> </w:t>
      </w:r>
    </w:p>
    <w:p w14:paraId="679D41D0" w14:textId="14B4653C" w:rsidR="007D7CF0" w:rsidRPr="007D7CF0" w:rsidRDefault="007D7CF0" w:rsidP="007D7CF0">
      <w:pPr>
        <w:pStyle w:val="NormalWeb"/>
        <w:rPr>
          <w:rFonts w:ascii="Garamond" w:hAnsi="Garamond"/>
        </w:rPr>
      </w:pPr>
      <w:r w:rsidRPr="007D7CF0">
        <w:rPr>
          <w:rFonts w:ascii="Garamond" w:hAnsi="Garamond"/>
        </w:rPr>
        <w:t xml:space="preserve">(4) And we need a slightly more visible explainer what these collision bands are in the </w:t>
      </w:r>
      <w:r w:rsidR="00BA0B84">
        <w:rPr>
          <w:rFonts w:ascii="Garamond" w:hAnsi="Garamond"/>
        </w:rPr>
        <w:t>P</w:t>
      </w:r>
      <w:r w:rsidRPr="007D7CF0">
        <w:rPr>
          <w:rFonts w:ascii="Garamond" w:hAnsi="Garamond"/>
        </w:rPr>
        <w:t>assages viewer. </w:t>
      </w:r>
    </w:p>
    <w:p w14:paraId="16F2B9A2" w14:textId="77777777" w:rsidR="007D7CF0" w:rsidRPr="007D7CF0" w:rsidRDefault="007D7CF0" w:rsidP="007D7CF0">
      <w:pPr>
        <w:pStyle w:val="NormalWeb"/>
        <w:rPr>
          <w:rFonts w:ascii="Garamond" w:hAnsi="Garamond"/>
        </w:rPr>
      </w:pPr>
      <w:r w:rsidRPr="007D7CF0">
        <w:rPr>
          <w:rFonts w:ascii="Garamond" w:hAnsi="Garamond"/>
        </w:rPr>
        <w:t>(5) For some dialogues, I don't see any collision bands at all in the passage viewer. Timaeus, for example. </w:t>
      </w:r>
    </w:p>
    <w:p w14:paraId="78C832FF" w14:textId="77777777" w:rsidR="007D7CF0" w:rsidRPr="007D7CF0" w:rsidRDefault="007D7CF0" w:rsidP="007D7CF0">
      <w:pPr>
        <w:pStyle w:val="NormalWeb"/>
        <w:rPr>
          <w:rFonts w:ascii="Garamond" w:hAnsi="Garamond"/>
        </w:rPr>
      </w:pPr>
      <w:r w:rsidRPr="007D7CF0">
        <w:rPr>
          <w:rFonts w:ascii="Garamond" w:hAnsi="Garamond"/>
        </w:rPr>
        <w:t>(6) The drop-down menu in the Passages viewer should list works in two groups: Plato and Aristotle, and then alphabetically within each group. Else it's chaos. </w:t>
      </w:r>
    </w:p>
    <w:p w14:paraId="335954DA" w14:textId="4461EA73" w:rsidR="007D7CF0" w:rsidRPr="007D7CF0" w:rsidRDefault="007D7CF0" w:rsidP="007D7CF0">
      <w:pPr>
        <w:pStyle w:val="NormalWeb"/>
        <w:rPr>
          <w:rFonts w:ascii="Garamond" w:hAnsi="Garamond"/>
        </w:rPr>
      </w:pPr>
      <w:r w:rsidRPr="007D7CF0">
        <w:rPr>
          <w:rFonts w:ascii="Garamond" w:hAnsi="Garamond"/>
        </w:rPr>
        <w:t xml:space="preserve">(7) </w:t>
      </w:r>
      <w:r w:rsidR="00BA0B84">
        <w:rPr>
          <w:rFonts w:ascii="Garamond" w:hAnsi="Garamond"/>
        </w:rPr>
        <w:t>Edits to the t</w:t>
      </w:r>
      <w:r w:rsidRPr="007D7CF0">
        <w:rPr>
          <w:rFonts w:ascii="Garamond" w:hAnsi="Garamond"/>
        </w:rPr>
        <w:t>ext we now have in the Method page:</w:t>
      </w:r>
    </w:p>
    <w:p w14:paraId="0518FE8C" w14:textId="77777777" w:rsidR="007D7CF0" w:rsidRPr="007D7CF0" w:rsidRDefault="007D7CF0" w:rsidP="007D7CF0">
      <w:pPr>
        <w:pStyle w:val="NormalWeb"/>
        <w:numPr>
          <w:ilvl w:val="0"/>
          <w:numId w:val="1"/>
        </w:numPr>
        <w:rPr>
          <w:rFonts w:ascii="Garamond" w:hAnsi="Garamond"/>
        </w:rPr>
      </w:pPr>
      <w:r w:rsidRPr="007D7CF0">
        <w:rPr>
          <w:rFonts w:ascii="Garamond" w:hAnsi="Garamond"/>
        </w:rPr>
        <w:t>the 80b example needs correcting: it could belong to Meno, Phaedo, Timaeus, or Posterior Analytics. Not to Apology as it now says, incorrectly. (Same goes for the example on the landing page, by the way, and needs to be corrected there.)</w:t>
      </w:r>
    </w:p>
    <w:p w14:paraId="2AEA020C" w14:textId="77777777" w:rsidR="007D7CF0" w:rsidRPr="007D7CF0" w:rsidRDefault="007D7CF0" w:rsidP="007D7CF0">
      <w:pPr>
        <w:pStyle w:val="NormalWeb"/>
        <w:numPr>
          <w:ilvl w:val="0"/>
          <w:numId w:val="1"/>
        </w:numPr>
        <w:rPr>
          <w:rFonts w:ascii="Garamond" w:hAnsi="Garamond"/>
        </w:rPr>
      </w:pPr>
      <w:r w:rsidRPr="007D7CF0">
        <w:rPr>
          <w:rFonts w:ascii="Garamond" w:hAnsi="Garamond"/>
        </w:rPr>
        <w:t>The "Floors, not totals" section: too long. Cut all that stuff about the earlier, "by alphabet" version. </w:t>
      </w:r>
    </w:p>
    <w:p w14:paraId="6E5D613F" w14:textId="77777777" w:rsidR="007D7CF0" w:rsidRPr="007D7CF0" w:rsidRDefault="007D7CF0" w:rsidP="007D7CF0">
      <w:pPr>
        <w:pStyle w:val="NormalWeb"/>
        <w:numPr>
          <w:ilvl w:val="0"/>
          <w:numId w:val="1"/>
        </w:numPr>
        <w:rPr>
          <w:rFonts w:ascii="Garamond" w:hAnsi="Garamond"/>
        </w:rPr>
      </w:pPr>
      <w:r w:rsidRPr="007D7CF0">
        <w:rPr>
          <w:rFonts w:ascii="Garamond" w:hAnsi="Garamond"/>
        </w:rPr>
        <w:t>Small-n section: check if this still stems from current reasoning and fits with it.</w:t>
      </w:r>
    </w:p>
    <w:p w14:paraId="0F689464" w14:textId="77777777" w:rsidR="007D7CF0" w:rsidRPr="007D7CF0" w:rsidRDefault="007D7CF0" w:rsidP="007D7CF0">
      <w:pPr>
        <w:pStyle w:val="NormalWeb"/>
        <w:numPr>
          <w:ilvl w:val="0"/>
          <w:numId w:val="1"/>
        </w:numPr>
        <w:rPr>
          <w:rFonts w:ascii="Garamond" w:hAnsi="Garamond"/>
        </w:rPr>
      </w:pPr>
      <w:r w:rsidRPr="007D7CF0">
        <w:rPr>
          <w:rFonts w:ascii="Garamond" w:hAnsi="Garamond"/>
        </w:rPr>
        <w:t>Collision band: "missingness" needs a gloss. Maybe we should just have a list there for works with collision bands, and which these are. After we implemented point (2) and double checked that we have the right bands.</w:t>
      </w:r>
    </w:p>
    <w:p w14:paraId="3A118663" w14:textId="77777777" w:rsidR="007D7CF0" w:rsidRPr="007D7CF0" w:rsidRDefault="007D7CF0" w:rsidP="007D7CF0">
      <w:pPr>
        <w:pStyle w:val="NormalWeb"/>
        <w:numPr>
          <w:ilvl w:val="0"/>
          <w:numId w:val="1"/>
        </w:numPr>
        <w:rPr>
          <w:rFonts w:ascii="Garamond" w:hAnsi="Garamond"/>
        </w:rPr>
      </w:pPr>
      <w:r w:rsidRPr="007D7CF0">
        <w:rPr>
          <w:rFonts w:ascii="Garamond" w:hAnsi="Garamond"/>
        </w:rPr>
        <w:t>Coverage section should be moved up; right after the first section. For each journal, as we list them, let's also give the years covered in parenthesis behind the journal title. </w:t>
      </w:r>
    </w:p>
    <w:p w14:paraId="4D5D576F" w14:textId="77777777" w:rsidR="007D7CF0" w:rsidRPr="007D7CF0" w:rsidRDefault="007D7CF0" w:rsidP="007D7CF0">
      <w:pPr>
        <w:pStyle w:val="NormalWeb"/>
        <w:numPr>
          <w:ilvl w:val="0"/>
          <w:numId w:val="1"/>
        </w:numPr>
        <w:rPr>
          <w:rFonts w:ascii="Garamond" w:hAnsi="Garamond"/>
        </w:rPr>
      </w:pPr>
      <w:r w:rsidRPr="007D7CF0">
        <w:rPr>
          <w:rFonts w:ascii="Garamond" w:hAnsi="Garamond"/>
        </w:rPr>
        <w:t>Group scheme: we should spell out there what we did, in fact, include in each group. </w:t>
      </w:r>
    </w:p>
    <w:p w14:paraId="10F02481" w14:textId="77777777" w:rsidR="007D7CF0" w:rsidRPr="007D7CF0" w:rsidRDefault="007D7CF0" w:rsidP="007D7CF0">
      <w:pPr>
        <w:pStyle w:val="NormalWeb"/>
        <w:numPr>
          <w:ilvl w:val="0"/>
          <w:numId w:val="1"/>
        </w:numPr>
        <w:rPr>
          <w:rFonts w:ascii="Garamond" w:hAnsi="Garamond"/>
        </w:rPr>
      </w:pPr>
      <w:r w:rsidRPr="007D7CF0">
        <w:rPr>
          <w:rFonts w:ascii="Garamond" w:hAnsi="Garamond"/>
        </w:rPr>
        <w:t>"Unplaceable citations have no year or journal breakdown" - is that actually true? Come to think of it, we probably can match even unplaceable citations to their years &amp; journals, no? Not sure how much that helps or changes for the two Viewers. </w:t>
      </w:r>
    </w:p>
    <w:p w14:paraId="387C3DAB" w14:textId="77777777" w:rsidR="007D7CF0" w:rsidRPr="007D7CF0" w:rsidRDefault="007D7CF0" w:rsidP="007D7CF0">
      <w:pPr>
        <w:pStyle w:val="NormalWeb"/>
        <w:numPr>
          <w:ilvl w:val="0"/>
          <w:numId w:val="1"/>
        </w:numPr>
        <w:rPr>
          <w:rFonts w:ascii="Garamond" w:hAnsi="Garamond"/>
        </w:rPr>
      </w:pPr>
      <w:r w:rsidRPr="007D7CF0">
        <w:rPr>
          <w:rFonts w:ascii="Garamond" w:hAnsi="Garamond"/>
        </w:rPr>
        <w:t>Known limitations section: delete the bullet point about books divisions. Scholars are aware</w:t>
      </w:r>
    </w:p>
    <w:p w14:paraId="67B520E8" w14:textId="6CEF6ED8" w:rsidR="007D7CF0" w:rsidRPr="007D7CF0" w:rsidRDefault="007D7CF0" w:rsidP="007D7CF0">
      <w:pPr>
        <w:pStyle w:val="NormalWeb"/>
        <w:ind w:left="360"/>
        <w:rPr>
          <w:rFonts w:ascii="Garamond" w:hAnsi="Garamond"/>
        </w:rPr>
      </w:pPr>
      <w:r w:rsidRPr="007D7CF0">
        <w:rPr>
          <w:rFonts w:ascii="Garamond" w:hAnsi="Garamond"/>
        </w:rPr>
        <w:t> </w:t>
      </w:r>
    </w:p>
    <w:p w14:paraId="2C35DD20" w14:textId="77777777" w:rsidR="007D7CF0" w:rsidRDefault="007D7CF0" w:rsidP="007D7CF0">
      <w:pPr>
        <w:rPr>
          <w:rFonts w:ascii="Garamond" w:hAnsi="Garamond"/>
        </w:rPr>
      </w:pPr>
    </w:p>
    <w:p w14:paraId="1F0A7E0A" w14:textId="5FD641DA" w:rsidR="007D7CF0" w:rsidRDefault="007D7CF0" w:rsidP="007D7CF0">
      <w:pPr>
        <w:rPr>
          <w:rFonts w:ascii="Garamond" w:hAnsi="Garamond"/>
        </w:rPr>
      </w:pPr>
      <w:r w:rsidRPr="007D7CF0">
        <w:rPr>
          <w:rFonts w:ascii="Garamond" w:hAnsi="Garamond"/>
        </w:rPr>
        <w:lastRenderedPageBreak/>
        <w:t xml:space="preserve">(8) </w:t>
      </w:r>
      <w:r w:rsidR="00BA0B84">
        <w:rPr>
          <w:rFonts w:ascii="Garamond" w:hAnsi="Garamond"/>
        </w:rPr>
        <w:t>Edits to the p</w:t>
      </w:r>
      <w:r w:rsidRPr="007D7CF0">
        <w:rPr>
          <w:rFonts w:ascii="Garamond" w:hAnsi="Garamond"/>
        </w:rPr>
        <w:t>ipeline &amp; methods record</w:t>
      </w:r>
      <w:r w:rsidR="00BA0B84">
        <w:rPr>
          <w:rFonts w:ascii="Garamond" w:hAnsi="Garamond"/>
        </w:rPr>
        <w:t xml:space="preserve">: </w:t>
      </w:r>
    </w:p>
    <w:p w14:paraId="6890C9E8" w14:textId="69DD7ABE" w:rsidR="007D7CF0" w:rsidRDefault="007D7CF0" w:rsidP="007D7CF0">
      <w:pPr>
        <w:pStyle w:val="ListParagraph"/>
        <w:numPr>
          <w:ilvl w:val="0"/>
          <w:numId w:val="2"/>
        </w:numPr>
        <w:rPr>
          <w:rFonts w:ascii="Garamond" w:hAnsi="Garamond"/>
        </w:rPr>
      </w:pPr>
      <w:r w:rsidRPr="007D7CF0">
        <w:rPr>
          <w:rFonts w:ascii="Garamond" w:hAnsi="Garamond"/>
        </w:rPr>
        <w:t>The source corpu</w:t>
      </w:r>
      <w:r w:rsidRPr="007D7CF0">
        <w:rPr>
          <w:rFonts w:ascii="Garamond" w:hAnsi="Garamond"/>
        </w:rPr>
        <w:t>s section</w:t>
      </w:r>
      <w:r>
        <w:rPr>
          <w:rFonts w:ascii="Garamond" w:hAnsi="Garamond"/>
        </w:rPr>
        <w:t xml:space="preserve">: do we know why that single item was flagged? Should we say something about it? And drop the stuff about the ‘references’ field. It distracts.  </w:t>
      </w:r>
    </w:p>
    <w:p w14:paraId="0CABC352" w14:textId="6DD2A911" w:rsidR="007D7CF0" w:rsidRDefault="00EB6AC7" w:rsidP="007D7CF0">
      <w:pPr>
        <w:pStyle w:val="ListParagraph"/>
        <w:numPr>
          <w:ilvl w:val="0"/>
          <w:numId w:val="2"/>
        </w:numPr>
        <w:rPr>
          <w:rFonts w:ascii="Garamond" w:hAnsi="Garamond"/>
        </w:rPr>
      </w:pPr>
      <w:r>
        <w:rPr>
          <w:rFonts w:ascii="Garamond" w:hAnsi="Garamond"/>
        </w:rPr>
        <w:t>Extracting citations section: drop the half-sentence about an ‘earlier version’ in the final paragraph.</w:t>
      </w:r>
    </w:p>
    <w:p w14:paraId="1BF24F71" w14:textId="77777777" w:rsidR="00EB6AC7" w:rsidRDefault="00EB6AC7" w:rsidP="007D7CF0">
      <w:pPr>
        <w:pStyle w:val="ListParagraph"/>
        <w:numPr>
          <w:ilvl w:val="0"/>
          <w:numId w:val="2"/>
        </w:numPr>
        <w:rPr>
          <w:rFonts w:ascii="Garamond" w:hAnsi="Garamond"/>
        </w:rPr>
      </w:pPr>
      <w:r>
        <w:rPr>
          <w:rFonts w:ascii="Garamond" w:hAnsi="Garamond"/>
        </w:rPr>
        <w:t xml:space="preserve">Resolving </w:t>
      </w:r>
      <w:proofErr w:type="gramStart"/>
      <w:r>
        <w:rPr>
          <w:rFonts w:ascii="Garamond" w:hAnsi="Garamond"/>
        </w:rPr>
        <w:t>candidates</w:t>
      </w:r>
      <w:proofErr w:type="gramEnd"/>
      <w:r>
        <w:rPr>
          <w:rFonts w:ascii="Garamond" w:hAnsi="Garamond"/>
        </w:rPr>
        <w:t xml:space="preserve"> section: under point two, we mention surrounding text. Maybe we should say how wide the search scope was here? How many tokens in either direction from the citation did we look? The whole article? Ten words back and forth? Only back, since names should come from upstream of the citation…? And should this section say something about ‘confidence’ and cut-offs? Wasn’t this part of our decision making: that sometimes we resolve when it’s undeniable where a passage belongs, but sometimes also when we’re only 90% confident (or some similar cut-off)? Or did we not rely on confidence estimates at all? </w:t>
      </w:r>
    </w:p>
    <w:p w14:paraId="70582EE0" w14:textId="77777777" w:rsidR="00EB6AC7" w:rsidRDefault="00EB6AC7" w:rsidP="007D7CF0">
      <w:pPr>
        <w:pStyle w:val="ListParagraph"/>
        <w:numPr>
          <w:ilvl w:val="0"/>
          <w:numId w:val="2"/>
        </w:numPr>
        <w:rPr>
          <w:rFonts w:ascii="Garamond" w:hAnsi="Garamond"/>
        </w:rPr>
      </w:pPr>
      <w:r>
        <w:rPr>
          <w:rFonts w:ascii="Garamond" w:hAnsi="Garamond"/>
        </w:rPr>
        <w:t>Book-level faceting. The second paragraph here is really good! In the first paragraph, we say we keep “</w:t>
      </w:r>
      <w:r w:rsidRPr="00EB6AC7">
        <w:rPr>
          <w:rFonts w:ascii="Garamond" w:hAnsi="Garamond"/>
        </w:rPr>
        <w:t>book assignment an auditable, swappable layer</w:t>
      </w:r>
      <w:r>
        <w:rPr>
          <w:rFonts w:ascii="Garamond" w:hAnsi="Garamond"/>
        </w:rPr>
        <w:t xml:space="preserve">.” Does that make sense? It’s clear and edition-invariant which passage from the books in question belongs to which book.  </w:t>
      </w:r>
    </w:p>
    <w:p w14:paraId="4023E75E" w14:textId="77777777" w:rsidR="00202E39" w:rsidRDefault="00EB6AC7" w:rsidP="007D7CF0">
      <w:pPr>
        <w:pStyle w:val="ListParagraph"/>
        <w:numPr>
          <w:ilvl w:val="0"/>
          <w:numId w:val="2"/>
        </w:numPr>
        <w:rPr>
          <w:rFonts w:ascii="Garamond" w:hAnsi="Garamond"/>
        </w:rPr>
      </w:pPr>
      <w:r>
        <w:rPr>
          <w:rFonts w:ascii="Garamond" w:hAnsi="Garamond"/>
        </w:rPr>
        <w:t xml:space="preserve">Reading the results section: drop the stuff about the alphabetical ordering in an earlier version. Just confusing – and frankly, embarrassing. </w:t>
      </w:r>
    </w:p>
    <w:p w14:paraId="629D718D" w14:textId="24B2CC18" w:rsidR="00202E39" w:rsidRDefault="00202E39" w:rsidP="00202E39">
      <w:pPr>
        <w:pStyle w:val="ListParagraph"/>
        <w:numPr>
          <w:ilvl w:val="0"/>
          <w:numId w:val="2"/>
        </w:numPr>
        <w:rPr>
          <w:rFonts w:ascii="Garamond" w:hAnsi="Garamond"/>
        </w:rPr>
      </w:pPr>
      <w:r>
        <w:rPr>
          <w:rFonts w:ascii="Garamond" w:hAnsi="Garamond"/>
        </w:rPr>
        <w:t xml:space="preserve">Known limitations section: drop the last two bullet points. </w:t>
      </w:r>
    </w:p>
    <w:p w14:paraId="653C9EAC" w14:textId="77777777" w:rsidR="00BA0B84" w:rsidRPr="00BA0B84" w:rsidRDefault="00BA0B84" w:rsidP="00BA0B84">
      <w:pPr>
        <w:rPr>
          <w:rFonts w:ascii="Garamond" w:hAnsi="Garamond"/>
        </w:rPr>
      </w:pPr>
    </w:p>
    <w:p w14:paraId="2502C71D" w14:textId="67F96E8A" w:rsidR="00550B3A" w:rsidRDefault="00202E39" w:rsidP="00202E39">
      <w:pPr>
        <w:rPr>
          <w:rFonts w:ascii="Garamond" w:hAnsi="Garamond"/>
        </w:rPr>
      </w:pPr>
      <w:r>
        <w:rPr>
          <w:rFonts w:ascii="Garamond" w:hAnsi="Garamond"/>
        </w:rPr>
        <w:t xml:space="preserve">(9) I think the shorter and the longer method pages should be consolidated into one single method page. First, we implement the changes suggested for either in points (7) and (8), then we consolidate on the basis of the longer, fuller pipeline + methods page. Mostly, it’s the coverage and the group scheme sections that need to be carried over from the shorter into the longer. </w:t>
      </w:r>
      <w:r>
        <w:rPr>
          <w:rFonts w:ascii="Garamond" w:hAnsi="Garamond"/>
        </w:rPr>
        <w:br/>
      </w:r>
      <w:r>
        <w:rPr>
          <w:rFonts w:ascii="Garamond" w:hAnsi="Garamond"/>
        </w:rPr>
        <w:br/>
        <w:t xml:space="preserve">(10) Data page: we need to make sure that the stuff we say can be downloaded actually can be. For now, it all looks like placeholder links? Let’s make sure they’re live. </w:t>
      </w:r>
      <w:r>
        <w:rPr>
          <w:rFonts w:ascii="Garamond" w:hAnsi="Garamond"/>
        </w:rPr>
        <w:br/>
      </w:r>
      <w:r>
        <w:rPr>
          <w:rFonts w:ascii="Garamond" w:hAnsi="Garamond"/>
        </w:rPr>
        <w:br/>
        <w:t xml:space="preserve">(11) </w:t>
      </w:r>
      <w:r w:rsidR="00BA0B84">
        <w:rPr>
          <w:rFonts w:ascii="Garamond" w:hAnsi="Garamond"/>
        </w:rPr>
        <w:t>‘</w:t>
      </w:r>
      <w:r>
        <w:rPr>
          <w:rFonts w:ascii="Garamond" w:hAnsi="Garamond"/>
        </w:rPr>
        <w:t>About</w:t>
      </w:r>
      <w:r w:rsidR="00BA0B84">
        <w:rPr>
          <w:rFonts w:ascii="Garamond" w:hAnsi="Garamond"/>
        </w:rPr>
        <w:t>’</w:t>
      </w:r>
      <w:r>
        <w:rPr>
          <w:rFonts w:ascii="Garamond" w:hAnsi="Garamond"/>
        </w:rPr>
        <w:t xml:space="preserve"> should be folded into </w:t>
      </w:r>
      <w:r w:rsidR="00BA0B84">
        <w:rPr>
          <w:rFonts w:ascii="Garamond" w:hAnsi="Garamond"/>
        </w:rPr>
        <w:t>‘</w:t>
      </w:r>
      <w:r>
        <w:rPr>
          <w:rFonts w:ascii="Garamond" w:hAnsi="Garamond"/>
        </w:rPr>
        <w:t>Home</w:t>
      </w:r>
      <w:r w:rsidR="00BA0B84">
        <w:rPr>
          <w:rFonts w:ascii="Garamond" w:hAnsi="Garamond"/>
        </w:rPr>
        <w:t>’ aka the landing page.</w:t>
      </w:r>
      <w:r>
        <w:rPr>
          <w:rFonts w:ascii="Garamond" w:hAnsi="Garamond"/>
        </w:rPr>
        <w:t xml:space="preserve"> From </w:t>
      </w:r>
      <w:r w:rsidR="00BA0B84">
        <w:rPr>
          <w:rFonts w:ascii="Garamond" w:hAnsi="Garamond"/>
        </w:rPr>
        <w:t>‘</w:t>
      </w:r>
      <w:r>
        <w:rPr>
          <w:rFonts w:ascii="Garamond" w:hAnsi="Garamond"/>
        </w:rPr>
        <w:t>About</w:t>
      </w:r>
      <w:r w:rsidR="00BA0B84">
        <w:rPr>
          <w:rFonts w:ascii="Garamond" w:hAnsi="Garamond"/>
        </w:rPr>
        <w:t>’</w:t>
      </w:r>
      <w:r>
        <w:rPr>
          <w:rFonts w:ascii="Garamond" w:hAnsi="Garamond"/>
        </w:rPr>
        <w:t xml:space="preserve">: ‘What this is’ and ‘scope and its limits’ can be dropped. ‘How to cite’ is radically condensed </w:t>
      </w:r>
      <w:r w:rsidR="00BA0B84">
        <w:rPr>
          <w:rFonts w:ascii="Garamond" w:hAnsi="Garamond"/>
        </w:rPr>
        <w:t xml:space="preserve">and </w:t>
      </w:r>
      <w:r>
        <w:rPr>
          <w:rFonts w:ascii="Garamond" w:hAnsi="Garamond"/>
        </w:rPr>
        <w:t>moves to the landing page, to the final section there</w:t>
      </w:r>
      <w:r w:rsidR="00BA0B84">
        <w:rPr>
          <w:rFonts w:ascii="Garamond" w:hAnsi="Garamond"/>
        </w:rPr>
        <w:t>, i.e.,</w:t>
      </w:r>
      <w:r>
        <w:rPr>
          <w:rFonts w:ascii="Garamond" w:hAnsi="Garamond"/>
        </w:rPr>
        <w:t xml:space="preserve"> ‘Citing and contributing’. ‘Disclosure’ and ‘Acknowledgments’ are fused, shortened, and moved to the landing page to become the final section there. </w:t>
      </w:r>
      <w:r w:rsidR="00550B3A">
        <w:rPr>
          <w:rFonts w:ascii="Garamond" w:hAnsi="Garamond"/>
        </w:rPr>
        <w:t>It should say the following</w:t>
      </w:r>
      <w:r w:rsidR="00BA0B84">
        <w:rPr>
          <w:rFonts w:ascii="Garamond" w:hAnsi="Garamond"/>
        </w:rPr>
        <w:t xml:space="preserve"> there</w:t>
      </w:r>
      <w:r w:rsidR="00550B3A">
        <w:rPr>
          <w:rFonts w:ascii="Garamond" w:hAnsi="Garamond"/>
        </w:rPr>
        <w:t>:</w:t>
      </w:r>
      <w:r w:rsidR="00550B3A">
        <w:rPr>
          <w:rFonts w:ascii="Garamond" w:hAnsi="Garamond"/>
        </w:rPr>
        <w:br/>
      </w:r>
      <w:r w:rsidR="00550B3A">
        <w:rPr>
          <w:rFonts w:ascii="Garamond" w:hAnsi="Garamond"/>
        </w:rPr>
        <w:br/>
        <w:t>“</w:t>
      </w:r>
      <w:r w:rsidR="00550B3A" w:rsidRPr="00550B3A">
        <w:rPr>
          <w:rFonts w:ascii="Garamond" w:hAnsi="Garamond"/>
        </w:rPr>
        <w:t xml:space="preserve">The pipeline, the analysis, and this site were developed with substantial assistance from Claude </w:t>
      </w:r>
      <w:r w:rsidR="00550B3A">
        <w:rPr>
          <w:rFonts w:ascii="Garamond" w:hAnsi="Garamond"/>
        </w:rPr>
        <w:t xml:space="preserve">Opus 48 </w:t>
      </w:r>
      <w:r w:rsidR="00550B3A" w:rsidRPr="00550B3A">
        <w:rPr>
          <w:rFonts w:ascii="Garamond" w:hAnsi="Garamond"/>
        </w:rPr>
        <w:t>(</w:t>
      </w:r>
      <w:r w:rsidR="00550B3A">
        <w:rPr>
          <w:rFonts w:ascii="Garamond" w:hAnsi="Garamond"/>
        </w:rPr>
        <w:t xml:space="preserve">by </w:t>
      </w:r>
      <w:r w:rsidR="00550B3A" w:rsidRPr="00550B3A">
        <w:rPr>
          <w:rFonts w:ascii="Garamond" w:hAnsi="Garamond"/>
        </w:rPr>
        <w:t>Anthropic)</w:t>
      </w:r>
      <w:r w:rsidR="00550B3A">
        <w:rPr>
          <w:rFonts w:ascii="Garamond" w:hAnsi="Garamond"/>
        </w:rPr>
        <w:t xml:space="preserve"> throughout. The responsibility for methodological decisions remains mine. </w:t>
      </w:r>
      <w:r w:rsidR="00550B3A">
        <w:rPr>
          <w:rFonts w:ascii="Garamond" w:hAnsi="Garamond"/>
        </w:rPr>
        <w:br/>
      </w:r>
      <w:r w:rsidR="00550B3A">
        <w:rPr>
          <w:rFonts w:ascii="Garamond" w:hAnsi="Garamond"/>
        </w:rPr>
        <w:br/>
        <w:t xml:space="preserve">I would like to thank the team at JSTOR </w:t>
      </w:r>
      <w:r w:rsidR="00550B3A" w:rsidRPr="00550B3A">
        <w:rPr>
          <w:rFonts w:ascii="Garamond" w:hAnsi="Garamond"/>
        </w:rPr>
        <w:t>Text Analysis Support</w:t>
      </w:r>
      <w:r w:rsidR="00550B3A">
        <w:rPr>
          <w:rFonts w:ascii="Garamond" w:hAnsi="Garamond"/>
        </w:rPr>
        <w:t xml:space="preserve"> for sharing the data that made this possible, and Joshua Mendelsohn for feedback on an earlier version.</w:t>
      </w:r>
      <w:r w:rsidR="00BA0B84">
        <w:rPr>
          <w:rFonts w:ascii="Garamond" w:hAnsi="Garamond"/>
        </w:rPr>
        <w:t>”</w:t>
      </w:r>
      <w:r w:rsidR="00550B3A">
        <w:rPr>
          <w:rFonts w:ascii="Garamond" w:hAnsi="Garamond"/>
        </w:rPr>
        <w:t xml:space="preserve"> </w:t>
      </w:r>
      <w:r w:rsidR="00550B3A">
        <w:rPr>
          <w:rFonts w:ascii="Garamond" w:hAnsi="Garamond"/>
        </w:rPr>
        <w:br/>
      </w:r>
      <w:r w:rsidR="00550B3A">
        <w:rPr>
          <w:rFonts w:ascii="Garamond" w:hAnsi="Garamond"/>
        </w:rPr>
        <w:br/>
      </w:r>
      <w:r w:rsidR="00550B3A">
        <w:rPr>
          <w:rFonts w:ascii="Garamond" w:hAnsi="Garamond"/>
        </w:rPr>
        <w:lastRenderedPageBreak/>
        <w:t xml:space="preserve">(12) ‘Citing and contributing’ on the landing page: the final paragraph is </w:t>
      </w:r>
      <w:r w:rsidR="00EC4D3D">
        <w:rPr>
          <w:rFonts w:ascii="Garamond" w:hAnsi="Garamond"/>
        </w:rPr>
        <w:t>changed</w:t>
      </w:r>
      <w:r w:rsidR="00550B3A">
        <w:rPr>
          <w:rFonts w:ascii="Garamond" w:hAnsi="Garamond"/>
        </w:rPr>
        <w:t xml:space="preserve"> to: “</w:t>
      </w:r>
      <w:r w:rsidR="00550B3A" w:rsidRPr="00550B3A">
        <w:rPr>
          <w:rFonts w:ascii="Garamond" w:hAnsi="Garamond"/>
          <w:b/>
          <w:bCs/>
        </w:rPr>
        <w:t>Publish or edit a journal you would like to see included?</w:t>
      </w:r>
      <w:r w:rsidR="00550B3A" w:rsidRPr="00550B3A">
        <w:rPr>
          <w:rFonts w:ascii="Garamond" w:hAnsi="Garamond"/>
        </w:rPr>
        <w:t> </w:t>
      </w:r>
      <w:r w:rsidR="00550B3A">
        <w:rPr>
          <w:rFonts w:ascii="Garamond" w:hAnsi="Garamond"/>
        </w:rPr>
        <w:t xml:space="preserve">Please </w:t>
      </w:r>
      <w:hyperlink r:id="rId5" w:history="1">
        <w:r w:rsidR="00550B3A">
          <w:rPr>
            <w:rStyle w:val="Hyperlink"/>
            <w:rFonts w:ascii="Garamond" w:hAnsi="Garamond"/>
          </w:rPr>
          <w:t>w</w:t>
        </w:r>
        <w:r w:rsidR="00550B3A" w:rsidRPr="00550B3A">
          <w:rPr>
            <w:rStyle w:val="Hyperlink"/>
            <w:rFonts w:ascii="Garamond" w:hAnsi="Garamond"/>
          </w:rPr>
          <w:t>rite to me</w:t>
        </w:r>
      </w:hyperlink>
      <w:r w:rsidR="00550B3A">
        <w:rPr>
          <w:rFonts w:ascii="Garamond" w:hAnsi="Garamond"/>
        </w:rPr>
        <w:t>!</w:t>
      </w:r>
      <w:r w:rsidR="00EC4D3D">
        <w:rPr>
          <w:rFonts w:ascii="Garamond" w:hAnsi="Garamond"/>
        </w:rPr>
        <w:t xml:space="preserve"> </w:t>
      </w:r>
      <w:r w:rsidR="00EC4D3D" w:rsidRPr="00EC4D3D">
        <w:rPr>
          <w:rFonts w:ascii="Garamond" w:hAnsi="Garamond"/>
        </w:rPr>
        <w:t xml:space="preserve">Corrections, methodological objections, and feature suggestions are </w:t>
      </w:r>
      <w:r w:rsidR="00EC4D3D">
        <w:rPr>
          <w:rFonts w:ascii="Garamond" w:hAnsi="Garamond"/>
        </w:rPr>
        <w:t xml:space="preserve">also </w:t>
      </w:r>
      <w:r w:rsidR="00EC4D3D" w:rsidRPr="00EC4D3D">
        <w:rPr>
          <w:rFonts w:ascii="Garamond" w:hAnsi="Garamond"/>
        </w:rPr>
        <w:t>all welcome.</w:t>
      </w:r>
      <w:r w:rsidR="00EC4D3D">
        <w:rPr>
          <w:rFonts w:ascii="Garamond" w:hAnsi="Garamond"/>
        </w:rPr>
        <w:t>”</w:t>
      </w:r>
      <w:r w:rsidR="00EC4D3D" w:rsidRPr="00EC4D3D">
        <w:rPr>
          <w:rFonts w:ascii="Garamond" w:hAnsi="Garamond"/>
        </w:rPr>
        <w:t xml:space="preserve"> </w:t>
      </w:r>
    </w:p>
    <w:p w14:paraId="122D6591" w14:textId="528DFE3A" w:rsidR="00550B3A" w:rsidRDefault="00550B3A" w:rsidP="00202E39">
      <w:pPr>
        <w:rPr>
          <w:rFonts w:ascii="Garamond" w:hAnsi="Garamond"/>
        </w:rPr>
      </w:pPr>
      <w:r>
        <w:rPr>
          <w:rFonts w:ascii="Garamond" w:hAnsi="Garamond"/>
        </w:rPr>
        <w:t xml:space="preserve">(13) Further landing page edits: </w:t>
      </w:r>
    </w:p>
    <w:p w14:paraId="4BBDD51C" w14:textId="493B9E18" w:rsidR="00550B3A" w:rsidRDefault="00BA0B84" w:rsidP="00550B3A">
      <w:pPr>
        <w:pStyle w:val="ListParagraph"/>
        <w:numPr>
          <w:ilvl w:val="0"/>
          <w:numId w:val="3"/>
        </w:numPr>
        <w:rPr>
          <w:rFonts w:ascii="Garamond" w:hAnsi="Garamond"/>
        </w:rPr>
      </w:pPr>
      <w:r>
        <w:rPr>
          <w:rFonts w:ascii="Garamond" w:hAnsi="Garamond"/>
        </w:rPr>
        <w:t>‘</w:t>
      </w:r>
      <w:r w:rsidR="00550B3A">
        <w:rPr>
          <w:rFonts w:ascii="Garamond" w:hAnsi="Garamond"/>
        </w:rPr>
        <w:t>What it cannot tell you</w:t>
      </w:r>
      <w:r>
        <w:rPr>
          <w:rFonts w:ascii="Garamond" w:hAnsi="Garamond"/>
        </w:rPr>
        <w:t>’</w:t>
      </w:r>
      <w:r w:rsidR="00550B3A">
        <w:rPr>
          <w:rFonts w:ascii="Garamond" w:hAnsi="Garamond"/>
        </w:rPr>
        <w:t xml:space="preserve"> </w:t>
      </w:r>
      <w:proofErr w:type="gramStart"/>
      <w:r w:rsidR="00550B3A">
        <w:rPr>
          <w:rFonts w:ascii="Garamond" w:hAnsi="Garamond"/>
        </w:rPr>
        <w:t>section:</w:t>
      </w:r>
      <w:proofErr w:type="gramEnd"/>
      <w:r w:rsidR="00550B3A">
        <w:rPr>
          <w:rFonts w:ascii="Garamond" w:hAnsi="Garamond"/>
        </w:rPr>
        <w:t xml:space="preserve"> let’s make that three crisp bullet points, not one huge block quote. Also, the 80b example there does not list the correct collision possibilities. See above. </w:t>
      </w:r>
    </w:p>
    <w:p w14:paraId="2A09B797" w14:textId="34F647A8" w:rsidR="00EC4D3D" w:rsidRDefault="00BA0B84" w:rsidP="00EC4D3D">
      <w:pPr>
        <w:pStyle w:val="ListParagraph"/>
        <w:numPr>
          <w:ilvl w:val="0"/>
          <w:numId w:val="3"/>
        </w:numPr>
        <w:rPr>
          <w:rFonts w:ascii="Garamond" w:hAnsi="Garamond"/>
        </w:rPr>
      </w:pPr>
      <w:r>
        <w:rPr>
          <w:rFonts w:ascii="Garamond" w:hAnsi="Garamond"/>
        </w:rPr>
        <w:t>‘</w:t>
      </w:r>
      <w:r w:rsidR="00550B3A" w:rsidRPr="00EC4D3D">
        <w:rPr>
          <w:rFonts w:ascii="Garamond" w:hAnsi="Garamond"/>
        </w:rPr>
        <w:t>What you can ask it</w:t>
      </w:r>
      <w:r>
        <w:rPr>
          <w:rFonts w:ascii="Garamond" w:hAnsi="Garamond"/>
        </w:rPr>
        <w:t>’</w:t>
      </w:r>
      <w:r w:rsidR="00550B3A" w:rsidRPr="00EC4D3D">
        <w:rPr>
          <w:rFonts w:ascii="Garamond" w:hAnsi="Garamond"/>
        </w:rPr>
        <w:t xml:space="preserve"> </w:t>
      </w:r>
      <w:proofErr w:type="gramStart"/>
      <w:r w:rsidR="00550B3A" w:rsidRPr="00EC4D3D">
        <w:rPr>
          <w:rFonts w:ascii="Garamond" w:hAnsi="Garamond"/>
        </w:rPr>
        <w:t>section:</w:t>
      </w:r>
      <w:proofErr w:type="gramEnd"/>
      <w:r w:rsidR="00550B3A" w:rsidRPr="00EC4D3D">
        <w:rPr>
          <w:rFonts w:ascii="Garamond" w:hAnsi="Garamond"/>
        </w:rPr>
        <w:t xml:space="preserve"> let’s rename ‘What this tool can do for you’. The content then should read as follows (</w:t>
      </w:r>
      <w:r>
        <w:rPr>
          <w:rFonts w:ascii="Garamond" w:hAnsi="Garamond"/>
        </w:rPr>
        <w:t xml:space="preserve">but </w:t>
      </w:r>
      <w:r w:rsidR="00550B3A" w:rsidRPr="00EC4D3D">
        <w:rPr>
          <w:rFonts w:ascii="Garamond" w:hAnsi="Garamond"/>
        </w:rPr>
        <w:t xml:space="preserve">keep bullet point structure!): </w:t>
      </w:r>
      <w:r w:rsidR="00550B3A" w:rsidRPr="00EC4D3D">
        <w:rPr>
          <w:rFonts w:ascii="Garamond" w:hAnsi="Garamond"/>
        </w:rPr>
        <w:br/>
      </w:r>
      <w:r w:rsidR="00550B3A" w:rsidRPr="00EC4D3D">
        <w:rPr>
          <w:rFonts w:ascii="Garamond" w:hAnsi="Garamond"/>
        </w:rPr>
        <w:br/>
      </w:r>
      <w:r w:rsidR="00550B3A" w:rsidRPr="00EC4D3D">
        <w:rPr>
          <w:rFonts w:ascii="Garamond" w:hAnsi="Garamond"/>
          <w:b/>
          <w:bCs/>
        </w:rPr>
        <w:t>“</w:t>
      </w:r>
      <w:r w:rsidR="00550B3A" w:rsidRPr="00EC4D3D">
        <w:rPr>
          <w:rFonts w:ascii="Garamond" w:hAnsi="Garamond"/>
          <w:b/>
          <w:bCs/>
        </w:rPr>
        <w:t xml:space="preserve">Which passages </w:t>
      </w:r>
      <w:r w:rsidR="00550B3A" w:rsidRPr="00EC4D3D">
        <w:rPr>
          <w:rFonts w:ascii="Garamond" w:hAnsi="Garamond"/>
          <w:b/>
          <w:bCs/>
        </w:rPr>
        <w:t>receive the most scholarly attention</w:t>
      </w:r>
      <w:r w:rsidR="00550B3A" w:rsidRPr="00EC4D3D">
        <w:rPr>
          <w:rFonts w:ascii="Garamond" w:hAnsi="Garamond"/>
          <w:b/>
          <w:bCs/>
        </w:rPr>
        <w:t>?</w:t>
      </w:r>
      <w:r w:rsidR="00550B3A" w:rsidRPr="00EC4D3D">
        <w:rPr>
          <w:rFonts w:ascii="Garamond" w:hAnsi="Garamond"/>
        </w:rPr>
        <w:t> </w:t>
      </w:r>
      <w:r w:rsidR="00EC4D3D" w:rsidRPr="00EC4D3D">
        <w:rPr>
          <w:rFonts w:ascii="Garamond" w:hAnsi="Garamond"/>
        </w:rPr>
        <w:t>See where, in a given work, scholarly attention spikes – for entire fields (philosophy/classics), specific journals, and periods.</w:t>
      </w:r>
    </w:p>
    <w:p w14:paraId="60074BC3" w14:textId="690ED2E4" w:rsidR="00EC4D3D" w:rsidRDefault="00EC4D3D" w:rsidP="00EC4D3D">
      <w:pPr>
        <w:pStyle w:val="ListParagraph"/>
        <w:ind w:left="1080"/>
        <w:rPr>
          <w:rFonts w:ascii="Garamond" w:hAnsi="Garamond"/>
        </w:rPr>
      </w:pPr>
      <w:r>
        <w:rPr>
          <w:rFonts w:ascii="Garamond" w:hAnsi="Garamond"/>
        </w:rPr>
        <w:br/>
      </w:r>
      <w:r w:rsidR="00550B3A" w:rsidRPr="00EC4D3D">
        <w:rPr>
          <w:rFonts w:ascii="Garamond" w:hAnsi="Garamond"/>
          <w:b/>
          <w:bCs/>
        </w:rPr>
        <w:t>How did attention to a work move over time?</w:t>
      </w:r>
      <w:r w:rsidR="00550B3A" w:rsidRPr="00EC4D3D">
        <w:rPr>
          <w:rFonts w:ascii="Garamond" w:hAnsi="Garamond"/>
        </w:rPr>
        <w:t> Plot</w:t>
      </w:r>
      <w:r w:rsidRPr="00EC4D3D">
        <w:rPr>
          <w:rFonts w:ascii="Garamond" w:hAnsi="Garamond"/>
        </w:rPr>
        <w:t xml:space="preserve"> </w:t>
      </w:r>
      <w:r w:rsidR="00550B3A" w:rsidRPr="00EC4D3D">
        <w:rPr>
          <w:rFonts w:ascii="Garamond" w:hAnsi="Garamond"/>
          <w:i/>
          <w:iCs/>
        </w:rPr>
        <w:t>Republic</w:t>
      </w:r>
      <w:r w:rsidR="00550B3A" w:rsidRPr="00EC4D3D">
        <w:rPr>
          <w:rFonts w:ascii="Garamond" w:hAnsi="Garamond"/>
        </w:rPr>
        <w:t> against </w:t>
      </w:r>
      <w:r w:rsidR="00550B3A" w:rsidRPr="00EC4D3D">
        <w:rPr>
          <w:rFonts w:ascii="Garamond" w:hAnsi="Garamond"/>
          <w:i/>
          <w:iCs/>
        </w:rPr>
        <w:t>Laws</w:t>
      </w:r>
      <w:r w:rsidR="00550B3A" w:rsidRPr="00EC4D3D">
        <w:rPr>
          <w:rFonts w:ascii="Garamond" w:hAnsi="Garamond"/>
        </w:rPr>
        <w:t>, or the whole Platonic corpus against the Aristotelian, across 135 years.</w:t>
      </w:r>
      <w:r>
        <w:rPr>
          <w:rFonts w:ascii="Garamond" w:hAnsi="Garamond"/>
        </w:rPr>
        <w:br/>
      </w:r>
      <w:r>
        <w:rPr>
          <w:rFonts w:ascii="Garamond" w:hAnsi="Garamond"/>
        </w:rPr>
        <w:br/>
      </w:r>
      <w:r w:rsidR="00550B3A" w:rsidRPr="00550B3A">
        <w:rPr>
          <w:rFonts w:ascii="Garamond" w:hAnsi="Garamond"/>
          <w:b/>
          <w:bCs/>
        </w:rPr>
        <w:t>Do philosophers and classicists read the same passages?</w:t>
      </w:r>
      <w:r w:rsidR="00550B3A" w:rsidRPr="00550B3A">
        <w:rPr>
          <w:rFonts w:ascii="Garamond" w:hAnsi="Garamond"/>
        </w:rPr>
        <w:t> </w:t>
      </w:r>
      <w:r>
        <w:rPr>
          <w:rFonts w:ascii="Garamond" w:hAnsi="Garamond"/>
        </w:rPr>
        <w:t>Explore how the</w:t>
      </w:r>
      <w:r w:rsidR="00550B3A" w:rsidRPr="00550B3A">
        <w:rPr>
          <w:rFonts w:ascii="Garamond" w:hAnsi="Garamond"/>
        </w:rPr>
        <w:t xml:space="preserve"> two fields' journals </w:t>
      </w:r>
      <w:r w:rsidRPr="00550B3A">
        <w:rPr>
          <w:rFonts w:ascii="Garamond" w:hAnsi="Garamond"/>
        </w:rPr>
        <w:t>emphasize</w:t>
      </w:r>
      <w:r w:rsidR="00550B3A" w:rsidRPr="00550B3A">
        <w:rPr>
          <w:rFonts w:ascii="Garamond" w:hAnsi="Garamond"/>
        </w:rPr>
        <w:t xml:space="preserve"> different parts of the same text.</w:t>
      </w:r>
      <w:r>
        <w:rPr>
          <w:rFonts w:ascii="Garamond" w:hAnsi="Garamond"/>
        </w:rPr>
        <w:br/>
      </w:r>
      <w:r>
        <w:rPr>
          <w:rFonts w:ascii="Garamond" w:hAnsi="Garamond"/>
        </w:rPr>
        <w:br/>
      </w:r>
      <w:r w:rsidR="00550B3A" w:rsidRPr="00550B3A">
        <w:rPr>
          <w:rFonts w:ascii="Garamond" w:hAnsi="Garamond"/>
          <w:b/>
          <w:bCs/>
        </w:rPr>
        <w:t>Who cited this passage?</w:t>
      </w:r>
      <w:r w:rsidR="00550B3A" w:rsidRPr="00550B3A">
        <w:rPr>
          <w:rFonts w:ascii="Garamond" w:hAnsi="Garamond"/>
        </w:rPr>
        <w:t> </w:t>
      </w:r>
      <w:r>
        <w:rPr>
          <w:rFonts w:ascii="Garamond" w:hAnsi="Garamond"/>
        </w:rPr>
        <w:t>Create exportable bibliographies of all the works in the database that cite a specific passage with one click.”</w:t>
      </w:r>
    </w:p>
    <w:p w14:paraId="2819BBFE" w14:textId="6ACA1FFD" w:rsidR="00EC4D3D" w:rsidRDefault="00EC4D3D" w:rsidP="00EC4D3D">
      <w:pPr>
        <w:rPr>
          <w:rFonts w:ascii="Garamond" w:hAnsi="Garamond"/>
        </w:rPr>
      </w:pPr>
      <w:r>
        <w:rPr>
          <w:rFonts w:ascii="Garamond" w:hAnsi="Garamond"/>
        </w:rPr>
        <w:t xml:space="preserve">(14) More landing page edits: </w:t>
      </w:r>
    </w:p>
    <w:p w14:paraId="0DBB4CFD" w14:textId="052A078D" w:rsidR="00EC4D3D" w:rsidRPr="00EC4D3D" w:rsidRDefault="00EC4D3D" w:rsidP="00EC4D3D">
      <w:pPr>
        <w:pStyle w:val="ListParagraph"/>
        <w:numPr>
          <w:ilvl w:val="0"/>
          <w:numId w:val="5"/>
        </w:numPr>
        <w:rPr>
          <w:rFonts w:ascii="Garamond" w:hAnsi="Garamond"/>
        </w:rPr>
      </w:pPr>
      <w:r>
        <w:rPr>
          <w:rFonts w:ascii="Garamond" w:hAnsi="Garamond"/>
        </w:rPr>
        <w:t>Subtitle: change to “</w:t>
      </w:r>
      <w:r w:rsidRPr="00EC4D3D">
        <w:rPr>
          <w:rFonts w:ascii="Garamond" w:hAnsi="Garamond"/>
          <w:i/>
          <w:iCs/>
        </w:rPr>
        <w:t xml:space="preserve">Which passages of Plato and Aristotle the scholarship cites — and which </w:t>
      </w:r>
      <w:r w:rsidR="00BA0B84">
        <w:rPr>
          <w:rFonts w:ascii="Garamond" w:hAnsi="Garamond"/>
          <w:i/>
          <w:iCs/>
        </w:rPr>
        <w:t>remain</w:t>
      </w:r>
      <w:r>
        <w:rPr>
          <w:rFonts w:ascii="Garamond" w:hAnsi="Garamond"/>
          <w:i/>
          <w:iCs/>
        </w:rPr>
        <w:t xml:space="preserve"> understudied</w:t>
      </w:r>
    </w:p>
    <w:p w14:paraId="3F34CFDF" w14:textId="05249B63" w:rsidR="00EC4D3D" w:rsidRPr="00EC4D3D" w:rsidRDefault="00EC4D3D" w:rsidP="00EC4D3D">
      <w:pPr>
        <w:pStyle w:val="ListParagraph"/>
        <w:numPr>
          <w:ilvl w:val="0"/>
          <w:numId w:val="5"/>
        </w:numPr>
        <w:rPr>
          <w:rFonts w:ascii="Garamond" w:hAnsi="Garamond"/>
        </w:rPr>
      </w:pPr>
      <w:r w:rsidRPr="00EC4D3D">
        <w:rPr>
          <w:rFonts w:ascii="Garamond" w:hAnsi="Garamond"/>
        </w:rPr>
        <w:t>Change the intro paragraph, above the numbers bar, to the following:</w:t>
      </w:r>
      <w:r w:rsidRPr="00EC4D3D">
        <w:rPr>
          <w:rFonts w:ascii="Garamond" w:hAnsi="Garamond"/>
        </w:rPr>
        <w:br/>
      </w:r>
      <w:r w:rsidR="00BA0B84">
        <w:rPr>
          <w:rFonts w:ascii="Garamond" w:hAnsi="Garamond"/>
        </w:rPr>
        <w:t>“</w:t>
      </w:r>
      <w:r>
        <w:rPr>
          <w:rFonts w:ascii="Garamond" w:hAnsi="Garamond"/>
        </w:rPr>
        <w:t>This tool shows which works—and which passages—by Plato and Aristotle receive the most scholarly attention, and which are relatively understudied, for both philosophy and classics, for individual journals, across 135 years.</w:t>
      </w:r>
      <w:r w:rsidR="00BA0B84">
        <w:rPr>
          <w:rFonts w:ascii="Garamond" w:hAnsi="Garamond"/>
        </w:rPr>
        <w:t>”</w:t>
      </w:r>
      <w:r>
        <w:rPr>
          <w:rFonts w:ascii="Garamond" w:hAnsi="Garamond"/>
        </w:rPr>
        <w:t xml:space="preserve">   </w:t>
      </w:r>
    </w:p>
    <w:p w14:paraId="321A58C7" w14:textId="2A15E698" w:rsidR="00EC4D3D" w:rsidRDefault="00EC4D3D" w:rsidP="00EC4D3D">
      <w:pPr>
        <w:pStyle w:val="ListParagraph"/>
        <w:numPr>
          <w:ilvl w:val="0"/>
          <w:numId w:val="5"/>
        </w:numPr>
        <w:rPr>
          <w:rFonts w:ascii="Garamond" w:hAnsi="Garamond"/>
        </w:rPr>
      </w:pPr>
      <w:r>
        <w:rPr>
          <w:rFonts w:ascii="Garamond" w:hAnsi="Garamond"/>
        </w:rPr>
        <w:t>The ‘How much of this picture we actually have’ graph</w:t>
      </w:r>
      <w:r w:rsidR="00BA0B84">
        <w:rPr>
          <w:rFonts w:ascii="Garamond" w:hAnsi="Garamond"/>
        </w:rPr>
        <w:t>:</w:t>
      </w:r>
      <w:r w:rsidR="00B33B34">
        <w:rPr>
          <w:rFonts w:ascii="Garamond" w:hAnsi="Garamond"/>
        </w:rPr>
        <w:t xml:space="preserve"> </w:t>
      </w:r>
      <w:r w:rsidR="00BA0B84">
        <w:rPr>
          <w:rFonts w:ascii="Garamond" w:hAnsi="Garamond"/>
        </w:rPr>
        <w:t>m</w:t>
      </w:r>
      <w:r w:rsidR="00B33B34">
        <w:rPr>
          <w:rFonts w:ascii="Garamond" w:hAnsi="Garamond"/>
        </w:rPr>
        <w:t xml:space="preserve">ake sure the ‘Reading this chart’ paragraph at the bottom is the same font size as the normal text on this </w:t>
      </w:r>
      <w:proofErr w:type="gramStart"/>
      <w:r w:rsidR="00B33B34">
        <w:rPr>
          <w:rFonts w:ascii="Garamond" w:hAnsi="Garamond"/>
        </w:rPr>
        <w:t>site, and</w:t>
      </w:r>
      <w:proofErr w:type="gramEnd"/>
      <w:r w:rsidR="00B33B34">
        <w:rPr>
          <w:rFonts w:ascii="Garamond" w:hAnsi="Garamond"/>
        </w:rPr>
        <w:t xml:space="preserve"> drop the last sentence of that paragraph</w:t>
      </w:r>
      <w:r w:rsidR="00BA0B84">
        <w:rPr>
          <w:rFonts w:ascii="Garamond" w:hAnsi="Garamond"/>
        </w:rPr>
        <w:t xml:space="preserve"> (the disclaimer about authorship; it’s not needed)</w:t>
      </w:r>
      <w:r w:rsidR="00B33B34">
        <w:rPr>
          <w:rFonts w:ascii="Garamond" w:hAnsi="Garamond"/>
        </w:rPr>
        <w:t>.</w:t>
      </w:r>
    </w:p>
    <w:p w14:paraId="4325C3AE" w14:textId="47388AD3" w:rsidR="00B33B34" w:rsidRDefault="00B33B34" w:rsidP="00B33B34">
      <w:pPr>
        <w:rPr>
          <w:rFonts w:ascii="Garamond" w:hAnsi="Garamond"/>
        </w:rPr>
      </w:pPr>
      <w:r>
        <w:rPr>
          <w:rFonts w:ascii="Garamond" w:hAnsi="Garamond"/>
        </w:rPr>
        <w:t>(15) ‘Contact’ page: keep email and repo link</w:t>
      </w:r>
      <w:r w:rsidR="00BA0B84">
        <w:rPr>
          <w:rFonts w:ascii="Garamond" w:hAnsi="Garamond"/>
        </w:rPr>
        <w:t xml:space="preserve"> box</w:t>
      </w:r>
      <w:r>
        <w:rPr>
          <w:rFonts w:ascii="Garamond" w:hAnsi="Garamond"/>
        </w:rPr>
        <w:t xml:space="preserve">, and replace the rest with this: </w:t>
      </w:r>
    </w:p>
    <w:p w14:paraId="734BB782" w14:textId="70677196" w:rsidR="00B33B34" w:rsidRDefault="00B33B34" w:rsidP="00B33B34">
      <w:pPr>
        <w:ind w:firstLine="720"/>
        <w:rPr>
          <w:rFonts w:ascii="Garamond" w:hAnsi="Garamond"/>
        </w:rPr>
      </w:pPr>
      <w:r>
        <w:rPr>
          <w:rFonts w:ascii="Garamond" w:hAnsi="Garamond"/>
        </w:rPr>
        <w:t xml:space="preserve">“Please get in touch if you notice any methodological or technical errors, </w:t>
      </w:r>
      <w:r>
        <w:rPr>
          <w:rFonts w:ascii="Garamond" w:hAnsi="Garamond"/>
        </w:rPr>
        <w:br/>
      </w:r>
      <w:r>
        <w:rPr>
          <w:rFonts w:ascii="Garamond" w:hAnsi="Garamond"/>
        </w:rPr>
        <w:tab/>
        <w:t xml:space="preserve">if you edit or publish a journal you’d like to see included here, </w:t>
      </w:r>
      <w:r>
        <w:rPr>
          <w:rFonts w:ascii="Garamond" w:hAnsi="Garamond"/>
        </w:rPr>
        <w:br/>
      </w:r>
      <w:r>
        <w:rPr>
          <w:rFonts w:ascii="Garamond" w:hAnsi="Garamond"/>
        </w:rPr>
        <w:tab/>
        <w:t xml:space="preserve">or if you’d like to suggest a new feature. </w:t>
      </w:r>
    </w:p>
    <w:p w14:paraId="260CE481" w14:textId="3641F06C" w:rsidR="00B33B34" w:rsidRDefault="00B33B34" w:rsidP="00B33B34">
      <w:pPr>
        <w:ind w:firstLine="720"/>
        <w:rPr>
          <w:rFonts w:ascii="Garamond" w:hAnsi="Garamond"/>
        </w:rPr>
      </w:pPr>
      <w:r>
        <w:rPr>
          <w:rFonts w:ascii="Garamond" w:hAnsi="Garamond"/>
        </w:rPr>
        <w:t xml:space="preserve">Features currently in planning: </w:t>
      </w:r>
    </w:p>
    <w:p w14:paraId="68D66198" w14:textId="2A326A9A" w:rsidR="00B33B34" w:rsidRPr="00B33B34" w:rsidRDefault="00B33B34" w:rsidP="00B33B34">
      <w:pPr>
        <w:numPr>
          <w:ilvl w:val="0"/>
          <w:numId w:val="6"/>
        </w:numPr>
        <w:rPr>
          <w:rFonts w:ascii="Garamond" w:hAnsi="Garamond"/>
        </w:rPr>
      </w:pPr>
      <w:r w:rsidRPr="00B33B34">
        <w:rPr>
          <w:rFonts w:ascii="Garamond" w:hAnsi="Garamond"/>
        </w:rPr>
        <w:lastRenderedPageBreak/>
        <w:t>Co-citation: which passages tend to be cited </w:t>
      </w:r>
      <w:r w:rsidRPr="00B33B34">
        <w:rPr>
          <w:rFonts w:ascii="Garamond" w:hAnsi="Garamond"/>
          <w:i/>
          <w:iCs/>
        </w:rPr>
        <w:t>together</w:t>
      </w:r>
      <w:r w:rsidRPr="00B33B34">
        <w:rPr>
          <w:rFonts w:ascii="Garamond" w:hAnsi="Garamond"/>
        </w:rPr>
        <w:t> in the same article.</w:t>
      </w:r>
    </w:p>
    <w:p w14:paraId="036AFA03" w14:textId="77777777" w:rsidR="00B33B34" w:rsidRDefault="00B33B34" w:rsidP="00B33B34">
      <w:pPr>
        <w:numPr>
          <w:ilvl w:val="0"/>
          <w:numId w:val="6"/>
        </w:numPr>
        <w:rPr>
          <w:rFonts w:ascii="Garamond" w:hAnsi="Garamond"/>
        </w:rPr>
      </w:pPr>
      <w:r w:rsidRPr="00B33B34">
        <w:rPr>
          <w:rFonts w:ascii="Garamond" w:hAnsi="Garamond"/>
        </w:rPr>
        <w:t>Coverage beyond journal articles, if the licensing can be arranged.</w:t>
      </w:r>
    </w:p>
    <w:p w14:paraId="36F92059" w14:textId="6A5DC639" w:rsidR="00B33B34" w:rsidRDefault="00B33B34" w:rsidP="00B33B34">
      <w:pPr>
        <w:numPr>
          <w:ilvl w:val="0"/>
          <w:numId w:val="6"/>
        </w:numPr>
        <w:rPr>
          <w:rFonts w:ascii="Garamond" w:hAnsi="Garamond"/>
        </w:rPr>
      </w:pPr>
      <w:r>
        <w:rPr>
          <w:rFonts w:ascii="Garamond" w:hAnsi="Garamond"/>
        </w:rPr>
        <w:t xml:space="preserve">Tackling more authors (Homer, Pindar, </w:t>
      </w:r>
      <w:proofErr w:type="spellStart"/>
      <w:r>
        <w:rPr>
          <w:rFonts w:ascii="Garamond" w:hAnsi="Garamond"/>
        </w:rPr>
        <w:t>Presocratics</w:t>
      </w:r>
      <w:proofErr w:type="spellEnd"/>
      <w:r>
        <w:rPr>
          <w:rFonts w:ascii="Garamond" w:hAnsi="Garamond"/>
        </w:rPr>
        <w:t xml:space="preserve">, Kant, Bible texts…) </w:t>
      </w:r>
    </w:p>
    <w:p w14:paraId="66289F81" w14:textId="152855E5" w:rsidR="00B33B34" w:rsidRPr="00B33B34" w:rsidRDefault="00B33B34" w:rsidP="00B33B34">
      <w:pPr>
        <w:numPr>
          <w:ilvl w:val="0"/>
          <w:numId w:val="6"/>
        </w:numPr>
        <w:rPr>
          <w:rFonts w:ascii="Garamond" w:hAnsi="Garamond"/>
        </w:rPr>
      </w:pPr>
      <w:r>
        <w:rPr>
          <w:rFonts w:ascii="Garamond" w:hAnsi="Garamond"/>
        </w:rPr>
        <w:t>Covering Aristotle by line and chapter, rather than Bekker pagination.”</w:t>
      </w:r>
    </w:p>
    <w:p w14:paraId="19C0FD30" w14:textId="4B1959F9" w:rsidR="00B33B34" w:rsidRDefault="00B33B34" w:rsidP="00B33B34">
      <w:pPr>
        <w:rPr>
          <w:rFonts w:ascii="Garamond" w:hAnsi="Garamond"/>
        </w:rPr>
      </w:pPr>
      <w:r>
        <w:rPr>
          <w:rFonts w:ascii="Garamond" w:hAnsi="Garamond"/>
        </w:rPr>
        <w:t xml:space="preserve">(16) email for ‘Contact’ page, write: ‘d a v </w:t>
      </w:r>
      <w:proofErr w:type="spellStart"/>
      <w:r>
        <w:rPr>
          <w:rFonts w:ascii="Garamond" w:hAnsi="Garamond"/>
        </w:rPr>
        <w:t>i</w:t>
      </w:r>
      <w:proofErr w:type="spellEnd"/>
      <w:r>
        <w:rPr>
          <w:rFonts w:ascii="Garamond" w:hAnsi="Garamond"/>
        </w:rPr>
        <w:t xml:space="preserve"> d </w:t>
      </w:r>
      <w:proofErr w:type="spellStart"/>
      <w:r>
        <w:rPr>
          <w:rFonts w:ascii="Garamond" w:hAnsi="Garamond"/>
        </w:rPr>
        <w:t>d</w:t>
      </w:r>
      <w:proofErr w:type="spellEnd"/>
      <w:r>
        <w:rPr>
          <w:rFonts w:ascii="Garamond" w:hAnsi="Garamond"/>
        </w:rPr>
        <w:t xml:space="preserve"> o t k r e t z a t y a l e d o t e d u’ </w:t>
      </w:r>
    </w:p>
    <w:p w14:paraId="0296BEE2" w14:textId="71DBEFC5" w:rsidR="00B33B34" w:rsidRDefault="00B33B34" w:rsidP="00B33B34">
      <w:pPr>
        <w:rPr>
          <w:rFonts w:ascii="Garamond" w:hAnsi="Garamond"/>
        </w:rPr>
      </w:pPr>
      <w:r>
        <w:rPr>
          <w:rFonts w:ascii="Garamond" w:hAnsi="Garamond"/>
        </w:rPr>
        <w:t xml:space="preserve">GitHub link for ‘Contact’ page, write: </w:t>
      </w:r>
      <w:hyperlink r:id="rId6" w:history="1">
        <w:r w:rsidRPr="00CC44BE">
          <w:rPr>
            <w:rStyle w:val="Hyperlink"/>
            <w:rFonts w:ascii="Garamond" w:hAnsi="Garamond"/>
          </w:rPr>
          <w:t>https://github.com/dkretz85/footnotes-to-plato</w:t>
        </w:r>
      </w:hyperlink>
    </w:p>
    <w:p w14:paraId="51B092CB" w14:textId="1D8A3FF8" w:rsidR="00B33B34" w:rsidRDefault="00B33B34" w:rsidP="00B33B34">
      <w:pPr>
        <w:rPr>
          <w:rFonts w:ascii="Garamond" w:hAnsi="Garamond"/>
        </w:rPr>
      </w:pPr>
      <w:r>
        <w:rPr>
          <w:rFonts w:ascii="Garamond" w:hAnsi="Garamond"/>
        </w:rPr>
        <w:t>Assuming we just link to the repo – and we make it all public, yes?</w:t>
      </w:r>
    </w:p>
    <w:p w14:paraId="0ECDD3F2" w14:textId="5C961E53" w:rsidR="00B33B34" w:rsidRDefault="00B33B34" w:rsidP="00B33B34">
      <w:pPr>
        <w:rPr>
          <w:rFonts w:ascii="Garamond" w:hAnsi="Garamond"/>
        </w:rPr>
      </w:pPr>
      <w:r>
        <w:rPr>
          <w:rFonts w:ascii="Garamond" w:hAnsi="Garamond"/>
        </w:rPr>
        <w:t xml:space="preserve">And let’s add a link to dkretz.com, too. </w:t>
      </w:r>
      <w:r>
        <w:rPr>
          <w:rFonts w:ascii="Garamond" w:hAnsi="Garamond"/>
        </w:rPr>
        <w:br/>
      </w:r>
      <w:r>
        <w:rPr>
          <w:rFonts w:ascii="Garamond" w:hAnsi="Garamond"/>
        </w:rPr>
        <w:br/>
        <w:t>(17) Add “Made by David Kretz (</w:t>
      </w:r>
      <w:r w:rsidR="00BA0B84">
        <w:rPr>
          <w:rFonts w:ascii="Garamond" w:hAnsi="Garamond"/>
        </w:rPr>
        <w:t xml:space="preserve">Yale University / </w:t>
      </w:r>
      <w:r w:rsidR="00BA0B84">
        <w:rPr>
          <w:rFonts w:ascii="Garamond" w:hAnsi="Garamond"/>
        </w:rPr>
        <w:t>dkretz.com</w:t>
      </w:r>
      <w:r>
        <w:rPr>
          <w:rFonts w:ascii="Garamond" w:hAnsi="Garamond"/>
        </w:rPr>
        <w:t xml:space="preserve">), with Claude Opus 4.8” to the footer of the page. </w:t>
      </w:r>
    </w:p>
    <w:p w14:paraId="3FF46AE4" w14:textId="4A4A4AE0" w:rsidR="00B33B34" w:rsidRDefault="00B33B34" w:rsidP="00B33B34">
      <w:pPr>
        <w:rPr>
          <w:rFonts w:ascii="Garamond" w:hAnsi="Garamond"/>
        </w:rPr>
      </w:pPr>
      <w:r>
        <w:rPr>
          <w:rFonts w:ascii="Garamond" w:hAnsi="Garamond"/>
        </w:rPr>
        <w:t xml:space="preserve">(18) Page title: Keep ‘Footnotes to Plato’ exactly as is, and then add ‘… </w:t>
      </w:r>
      <w:r>
        <w:rPr>
          <w:rFonts w:ascii="Garamond" w:hAnsi="Garamond"/>
          <w:i/>
          <w:iCs/>
        </w:rPr>
        <w:t>and others</w:t>
      </w:r>
      <w:r>
        <w:rPr>
          <w:rFonts w:ascii="Garamond" w:hAnsi="Garamond"/>
        </w:rPr>
        <w:t>’</w:t>
      </w:r>
      <w:r w:rsidR="00BA0B84">
        <w:rPr>
          <w:rFonts w:ascii="Garamond" w:hAnsi="Garamond"/>
        </w:rPr>
        <w:t xml:space="preserve"> in italics, not bold. </w:t>
      </w:r>
    </w:p>
    <w:p w14:paraId="1B4386F3" w14:textId="79DD3221" w:rsidR="00B33B34" w:rsidRPr="00B33B34" w:rsidRDefault="00BA0B84" w:rsidP="00BA0B84">
      <w:pPr>
        <w:rPr>
          <w:rFonts w:ascii="Garamond" w:hAnsi="Garamond"/>
        </w:rPr>
      </w:pPr>
      <w:r>
        <w:rPr>
          <w:rFonts w:ascii="Garamond" w:hAnsi="Garamond"/>
        </w:rPr>
        <w:t xml:space="preserve">(19) Final thought: check with me once more about the way we have four bins per page for Bekker pages, one for no lines given, and three for lines given. I have some questions whether that’s indeed the best way. </w:t>
      </w:r>
    </w:p>
    <w:p w14:paraId="33691039" w14:textId="65300997" w:rsidR="00EC4D3D" w:rsidRPr="00EC4D3D" w:rsidRDefault="00EC4D3D" w:rsidP="00EC4D3D">
      <w:pPr>
        <w:rPr>
          <w:rFonts w:ascii="Garamond" w:hAnsi="Garamond"/>
        </w:rPr>
      </w:pPr>
      <w:r w:rsidRPr="00EC4D3D">
        <w:rPr>
          <w:rFonts w:ascii="Garamond" w:hAnsi="Garamond"/>
        </w:rPr>
        <w:br/>
      </w:r>
      <w:r w:rsidRPr="00EC4D3D">
        <w:rPr>
          <w:rFonts w:ascii="Garamond" w:hAnsi="Garamond"/>
        </w:rPr>
        <w:tab/>
      </w:r>
    </w:p>
    <w:p w14:paraId="7CAA7911" w14:textId="32F3831A" w:rsidR="00EC4D3D" w:rsidRPr="00EC4D3D" w:rsidRDefault="00EC4D3D" w:rsidP="00EC4D3D">
      <w:pPr>
        <w:rPr>
          <w:rFonts w:ascii="Garamond" w:hAnsi="Garamond"/>
        </w:rPr>
      </w:pPr>
      <w:r>
        <w:rPr>
          <w:rFonts w:ascii="Garamond" w:hAnsi="Garamond"/>
        </w:rPr>
        <w:tab/>
      </w:r>
    </w:p>
    <w:p w14:paraId="1578B637" w14:textId="769D78BA" w:rsidR="00EB6AC7" w:rsidRPr="00202E39" w:rsidRDefault="00550B3A" w:rsidP="00202E39">
      <w:pPr>
        <w:rPr>
          <w:rFonts w:ascii="Garamond" w:hAnsi="Garamond"/>
        </w:rPr>
      </w:pPr>
      <w:r>
        <w:rPr>
          <w:rFonts w:ascii="Garamond" w:hAnsi="Garamond"/>
        </w:rPr>
        <w:br/>
      </w:r>
      <w:r>
        <w:rPr>
          <w:rFonts w:ascii="Garamond" w:hAnsi="Garamond"/>
        </w:rPr>
        <w:br/>
      </w:r>
    </w:p>
    <w:p w14:paraId="5B0F1029" w14:textId="7091F655" w:rsidR="002754C9" w:rsidRPr="007D7CF0" w:rsidRDefault="002754C9">
      <w:pPr>
        <w:rPr>
          <w:rFonts w:ascii="Garamond" w:hAnsi="Garamond"/>
        </w:rPr>
      </w:pPr>
    </w:p>
    <w:sectPr w:rsidR="002754C9" w:rsidRPr="007D7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9326A"/>
    <w:multiLevelType w:val="hybridMultilevel"/>
    <w:tmpl w:val="FF0C1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91F666D"/>
    <w:multiLevelType w:val="hybridMultilevel"/>
    <w:tmpl w:val="DD327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71218"/>
    <w:multiLevelType w:val="multilevel"/>
    <w:tmpl w:val="A9B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E393B"/>
    <w:multiLevelType w:val="multilevel"/>
    <w:tmpl w:val="AA8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A4B24"/>
    <w:multiLevelType w:val="hybridMultilevel"/>
    <w:tmpl w:val="D61A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504202"/>
    <w:multiLevelType w:val="multilevel"/>
    <w:tmpl w:val="F46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93536">
    <w:abstractNumId w:val="5"/>
  </w:num>
  <w:num w:numId="2" w16cid:durableId="2035961963">
    <w:abstractNumId w:val="4"/>
  </w:num>
  <w:num w:numId="3" w16cid:durableId="418870196">
    <w:abstractNumId w:val="0"/>
  </w:num>
  <w:num w:numId="4" w16cid:durableId="424695714">
    <w:abstractNumId w:val="2"/>
  </w:num>
  <w:num w:numId="5" w16cid:durableId="1019509853">
    <w:abstractNumId w:val="1"/>
  </w:num>
  <w:num w:numId="6" w16cid:durableId="14739091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F0"/>
    <w:rsid w:val="0001184E"/>
    <w:rsid w:val="00040CE3"/>
    <w:rsid w:val="00202E39"/>
    <w:rsid w:val="002754C9"/>
    <w:rsid w:val="002E7FAE"/>
    <w:rsid w:val="004C040F"/>
    <w:rsid w:val="00550B3A"/>
    <w:rsid w:val="00623D88"/>
    <w:rsid w:val="00724263"/>
    <w:rsid w:val="007D7CF0"/>
    <w:rsid w:val="00B33B34"/>
    <w:rsid w:val="00BA0B84"/>
    <w:rsid w:val="00D93798"/>
    <w:rsid w:val="00EB6AC7"/>
    <w:rsid w:val="00EC4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7ADD74"/>
  <w15:chartTrackingRefBased/>
  <w15:docId w15:val="{FD715D6B-6420-7C4C-BC3D-F4CB654E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CF0"/>
    <w:rPr>
      <w:rFonts w:eastAsiaTheme="majorEastAsia" w:cstheme="majorBidi"/>
      <w:color w:val="272727" w:themeColor="text1" w:themeTint="D8"/>
    </w:rPr>
  </w:style>
  <w:style w:type="paragraph" w:styleId="Title">
    <w:name w:val="Title"/>
    <w:basedOn w:val="Normal"/>
    <w:next w:val="Normal"/>
    <w:link w:val="TitleChar"/>
    <w:uiPriority w:val="10"/>
    <w:qFormat/>
    <w:rsid w:val="007D7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CF0"/>
    <w:pPr>
      <w:spacing w:before="160"/>
      <w:jc w:val="center"/>
    </w:pPr>
    <w:rPr>
      <w:i/>
      <w:iCs/>
      <w:color w:val="404040" w:themeColor="text1" w:themeTint="BF"/>
    </w:rPr>
  </w:style>
  <w:style w:type="character" w:customStyle="1" w:styleId="QuoteChar">
    <w:name w:val="Quote Char"/>
    <w:basedOn w:val="DefaultParagraphFont"/>
    <w:link w:val="Quote"/>
    <w:uiPriority w:val="29"/>
    <w:rsid w:val="007D7CF0"/>
    <w:rPr>
      <w:i/>
      <w:iCs/>
      <w:color w:val="404040" w:themeColor="text1" w:themeTint="BF"/>
    </w:rPr>
  </w:style>
  <w:style w:type="paragraph" w:styleId="ListParagraph">
    <w:name w:val="List Paragraph"/>
    <w:basedOn w:val="Normal"/>
    <w:uiPriority w:val="34"/>
    <w:qFormat/>
    <w:rsid w:val="007D7CF0"/>
    <w:pPr>
      <w:ind w:left="720"/>
      <w:contextualSpacing/>
    </w:pPr>
  </w:style>
  <w:style w:type="character" w:styleId="IntenseEmphasis">
    <w:name w:val="Intense Emphasis"/>
    <w:basedOn w:val="DefaultParagraphFont"/>
    <w:uiPriority w:val="21"/>
    <w:qFormat/>
    <w:rsid w:val="007D7CF0"/>
    <w:rPr>
      <w:i/>
      <w:iCs/>
      <w:color w:val="0F4761" w:themeColor="accent1" w:themeShade="BF"/>
    </w:rPr>
  </w:style>
  <w:style w:type="paragraph" w:styleId="IntenseQuote">
    <w:name w:val="Intense Quote"/>
    <w:basedOn w:val="Normal"/>
    <w:next w:val="Normal"/>
    <w:link w:val="IntenseQuoteChar"/>
    <w:uiPriority w:val="30"/>
    <w:qFormat/>
    <w:rsid w:val="007D7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CF0"/>
    <w:rPr>
      <w:i/>
      <w:iCs/>
      <w:color w:val="0F4761" w:themeColor="accent1" w:themeShade="BF"/>
    </w:rPr>
  </w:style>
  <w:style w:type="character" w:styleId="IntenseReference">
    <w:name w:val="Intense Reference"/>
    <w:basedOn w:val="DefaultParagraphFont"/>
    <w:uiPriority w:val="32"/>
    <w:qFormat/>
    <w:rsid w:val="007D7CF0"/>
    <w:rPr>
      <w:b/>
      <w:bCs/>
      <w:smallCaps/>
      <w:color w:val="0F4761" w:themeColor="accent1" w:themeShade="BF"/>
      <w:spacing w:val="5"/>
    </w:rPr>
  </w:style>
  <w:style w:type="paragraph" w:styleId="NormalWeb">
    <w:name w:val="Normal (Web)"/>
    <w:basedOn w:val="Normal"/>
    <w:uiPriority w:val="99"/>
    <w:semiHidden/>
    <w:unhideWhenUsed/>
    <w:rsid w:val="007D7C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50B3A"/>
    <w:rPr>
      <w:color w:val="467886" w:themeColor="hyperlink"/>
      <w:u w:val="single"/>
    </w:rPr>
  </w:style>
  <w:style w:type="character" w:styleId="UnresolvedMention">
    <w:name w:val="Unresolved Mention"/>
    <w:basedOn w:val="DefaultParagraphFont"/>
    <w:uiPriority w:val="99"/>
    <w:semiHidden/>
    <w:unhideWhenUsed/>
    <w:rsid w:val="00550B3A"/>
    <w:rPr>
      <w:color w:val="605E5C"/>
      <w:shd w:val="clear" w:color="auto" w:fill="E1DFDD"/>
    </w:rPr>
  </w:style>
  <w:style w:type="character" w:styleId="FollowedHyperlink">
    <w:name w:val="FollowedHyperlink"/>
    <w:basedOn w:val="DefaultParagraphFont"/>
    <w:uiPriority w:val="99"/>
    <w:semiHidden/>
    <w:unhideWhenUsed/>
    <w:rsid w:val="00550B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kretz85/footnotes-to-plato" TargetMode="External"/><Relationship Id="rId5" Type="http://schemas.openxmlformats.org/officeDocument/2006/relationships/hyperlink" Target="https://footnotes.dkretz.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Kretz</dc:creator>
  <cp:keywords/>
  <dc:description/>
  <cp:lastModifiedBy>David Kretz</cp:lastModifiedBy>
  <cp:revision>1</cp:revision>
  <dcterms:created xsi:type="dcterms:W3CDTF">2026-07-24T02:13:00Z</dcterms:created>
  <dcterms:modified xsi:type="dcterms:W3CDTF">2026-07-24T03:25:00Z</dcterms:modified>
</cp:coreProperties>
</file>