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FEBEE2" w14:textId="77777777" w:rsidR="00B860D2" w:rsidRPr="00B860D2" w:rsidRDefault="00B860D2" w:rsidP="00B860D2">
      <w:pPr>
        <w:spacing w:after="0"/>
        <w:rPr>
          <w:rFonts w:ascii="Garamond" w:hAnsi="Garamond"/>
        </w:rPr>
      </w:pPr>
      <w:r w:rsidRPr="00B860D2">
        <w:rPr>
          <w:rFonts w:ascii="Garamond" w:hAnsi="Garamond"/>
        </w:rPr>
        <w:t xml:space="preserve">Here are design instructions plus text to use for the website: </w:t>
      </w:r>
    </w:p>
    <w:p w14:paraId="334BC4D3" w14:textId="77777777" w:rsidR="00B860D2" w:rsidRPr="00B860D2" w:rsidRDefault="00B860D2" w:rsidP="00B860D2">
      <w:pPr>
        <w:spacing w:after="0"/>
        <w:rPr>
          <w:rFonts w:ascii="Garamond" w:hAnsi="Garamond"/>
        </w:rPr>
      </w:pPr>
    </w:p>
    <w:p w14:paraId="1BAC5CEE" w14:textId="72CB04C5" w:rsidR="002754C9" w:rsidRDefault="00B860D2" w:rsidP="00B860D2">
      <w:pPr>
        <w:spacing w:after="0"/>
        <w:rPr>
          <w:rFonts w:ascii="Garamond" w:hAnsi="Garamond"/>
        </w:rPr>
      </w:pPr>
      <w:r w:rsidRPr="00B860D2">
        <w:rPr>
          <w:rFonts w:ascii="Garamond" w:hAnsi="Garamond"/>
          <w:b/>
          <w:bCs/>
        </w:rPr>
        <w:t xml:space="preserve">Landing page </w:t>
      </w:r>
    </w:p>
    <w:p w14:paraId="0E051571" w14:textId="77777777" w:rsidR="00B860D2" w:rsidRDefault="00B860D2" w:rsidP="00B860D2">
      <w:pPr>
        <w:spacing w:after="0"/>
        <w:rPr>
          <w:rFonts w:ascii="Garamond" w:hAnsi="Garamond"/>
        </w:rPr>
      </w:pPr>
    </w:p>
    <w:p w14:paraId="66AC621E" w14:textId="21B41464" w:rsidR="00B860D2" w:rsidRDefault="00B860D2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The opening </w:t>
      </w:r>
      <w:proofErr w:type="spellStart"/>
      <w:r>
        <w:rPr>
          <w:rFonts w:ascii="Garamond" w:hAnsi="Garamond"/>
        </w:rPr>
        <w:t>lede</w:t>
      </w:r>
      <w:proofErr w:type="spellEnd"/>
      <w:r>
        <w:rPr>
          <w:rFonts w:ascii="Garamond" w:hAnsi="Garamond"/>
        </w:rPr>
        <w:t xml:space="preserve"> should read as follows:</w:t>
      </w:r>
    </w:p>
    <w:p w14:paraId="5D8BBB9E" w14:textId="08585750" w:rsidR="00B860D2" w:rsidRDefault="00B860D2" w:rsidP="00B860D2">
      <w:pPr>
        <w:spacing w:after="0"/>
        <w:rPr>
          <w:rFonts w:ascii="Garamond" w:hAnsi="Garamond"/>
        </w:rPr>
      </w:pPr>
    </w:p>
    <w:p w14:paraId="1276FBF7" w14:textId="77777777" w:rsidR="00B860D2" w:rsidRDefault="00B860D2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“Welcome! </w:t>
      </w:r>
      <w:r>
        <w:rPr>
          <w:rFonts w:ascii="Garamond" w:hAnsi="Garamond"/>
          <w:i/>
          <w:iCs/>
        </w:rPr>
        <w:t>Footnotes to Plato (and Others</w:t>
      </w:r>
      <w:r>
        <w:rPr>
          <w:rFonts w:ascii="Garamond" w:hAnsi="Garamond"/>
        </w:rPr>
        <w:t>) is a tool for scholars in ancient philosophy, classics, theology, reception studies, intellectual history, history of the humanities, and digital humanities.</w:t>
      </w:r>
    </w:p>
    <w:p w14:paraId="7CA31E69" w14:textId="77777777" w:rsidR="00B860D2" w:rsidRDefault="00B860D2" w:rsidP="00B860D2">
      <w:pPr>
        <w:spacing w:after="0"/>
        <w:rPr>
          <w:rFonts w:ascii="Garamond" w:hAnsi="Garamond"/>
        </w:rPr>
      </w:pPr>
    </w:p>
    <w:p w14:paraId="4AFEE83F" w14:textId="5DBE4F6F" w:rsidR="00B860D2" w:rsidRDefault="00B860D2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It tracks citations to five ancient authors—Homer, Pindar, Plato, Aristotle, and Paul—across a corpus of [##] academic journals, published between [year] and [year]. Shoutout to the folks at JSTOR who </w:t>
      </w:r>
      <w:r w:rsidR="003972B1">
        <w:rPr>
          <w:rFonts w:ascii="Garamond" w:hAnsi="Garamond"/>
        </w:rPr>
        <w:t xml:space="preserve">kindly </w:t>
      </w:r>
      <w:r>
        <w:rPr>
          <w:rFonts w:ascii="Garamond" w:hAnsi="Garamond"/>
        </w:rPr>
        <w:t xml:space="preserve">provided the data!  </w:t>
      </w:r>
    </w:p>
    <w:p w14:paraId="067D0E73" w14:textId="77777777" w:rsidR="00B860D2" w:rsidRDefault="00B860D2" w:rsidP="00B860D2">
      <w:pPr>
        <w:spacing w:after="0"/>
        <w:rPr>
          <w:rFonts w:ascii="Garamond" w:hAnsi="Garamond"/>
        </w:rPr>
      </w:pPr>
    </w:p>
    <w:p w14:paraId="7124E219" w14:textId="4B36BF54" w:rsidR="00B860D2" w:rsidRDefault="00B860D2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Three visualization tools allow you to analyze </w:t>
      </w:r>
      <w:r w:rsidR="003972B1">
        <w:rPr>
          <w:rFonts w:ascii="Garamond" w:hAnsi="Garamond"/>
        </w:rPr>
        <w:t xml:space="preserve">(1) </w:t>
      </w:r>
      <w:r w:rsidRPr="00B860D2">
        <w:rPr>
          <w:rFonts w:ascii="Garamond" w:hAnsi="Garamond"/>
        </w:rPr>
        <w:t xml:space="preserve">how scholarly attention </w:t>
      </w:r>
      <w:r w:rsidR="003972B1">
        <w:rPr>
          <w:rFonts w:ascii="Garamond" w:hAnsi="Garamond"/>
        </w:rPr>
        <w:t>distributes</w:t>
      </w:r>
      <w:r w:rsidRPr="00B860D2">
        <w:rPr>
          <w:rFonts w:ascii="Garamond" w:hAnsi="Garamond"/>
        </w:rPr>
        <w:t xml:space="preserve"> between texts, text-clusters, </w:t>
      </w:r>
      <w:r w:rsidR="003972B1">
        <w:rPr>
          <w:rFonts w:ascii="Garamond" w:hAnsi="Garamond"/>
        </w:rPr>
        <w:t xml:space="preserve">but also </w:t>
      </w:r>
      <w:r w:rsidRPr="00B860D2">
        <w:rPr>
          <w:rFonts w:ascii="Garamond" w:hAnsi="Garamond"/>
        </w:rPr>
        <w:t xml:space="preserve">within text, at passage-level granularity, </w:t>
      </w:r>
      <w:r w:rsidR="003972B1">
        <w:rPr>
          <w:rFonts w:ascii="Garamond" w:hAnsi="Garamond"/>
        </w:rPr>
        <w:t xml:space="preserve">(2) </w:t>
      </w:r>
      <w:r w:rsidRPr="00B860D2">
        <w:rPr>
          <w:rFonts w:ascii="Garamond" w:hAnsi="Garamond"/>
        </w:rPr>
        <w:t xml:space="preserve">how </w:t>
      </w:r>
      <w:r w:rsidR="003972B1">
        <w:rPr>
          <w:rFonts w:ascii="Garamond" w:hAnsi="Garamond"/>
        </w:rPr>
        <w:t>all this</w:t>
      </w:r>
      <w:r w:rsidRPr="00B860D2">
        <w:rPr>
          <w:rFonts w:ascii="Garamond" w:hAnsi="Garamond"/>
        </w:rPr>
        <w:t xml:space="preserve"> shifts over time</w:t>
      </w:r>
      <w:r>
        <w:rPr>
          <w:rFonts w:ascii="Garamond" w:hAnsi="Garamond"/>
        </w:rPr>
        <w:t xml:space="preserve">, and </w:t>
      </w:r>
      <w:r w:rsidR="003972B1">
        <w:rPr>
          <w:rFonts w:ascii="Garamond" w:hAnsi="Garamond"/>
        </w:rPr>
        <w:t xml:space="preserve">(3) </w:t>
      </w:r>
      <w:r>
        <w:rPr>
          <w:rFonts w:ascii="Garamond" w:hAnsi="Garamond"/>
        </w:rPr>
        <w:t xml:space="preserve">how it differs from journal to journal, discipline to discipline. </w:t>
      </w:r>
    </w:p>
    <w:p w14:paraId="46252D51" w14:textId="77777777" w:rsidR="003972B1" w:rsidRDefault="003972B1" w:rsidP="00B860D2">
      <w:pPr>
        <w:spacing w:after="0"/>
        <w:rPr>
          <w:rFonts w:ascii="Garamond" w:hAnsi="Garamond"/>
        </w:rPr>
      </w:pPr>
    </w:p>
    <w:p w14:paraId="6C4B41F7" w14:textId="3B4AF852" w:rsidR="003972B1" w:rsidRDefault="003972B1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Below is a short introduction to the three visualization tools, and some important-to-know caveats to keep in mind as you use these tools. </w:t>
      </w:r>
    </w:p>
    <w:p w14:paraId="09C079EE" w14:textId="77777777" w:rsidR="003972B1" w:rsidRDefault="003972B1" w:rsidP="00B860D2">
      <w:pPr>
        <w:spacing w:after="0"/>
        <w:rPr>
          <w:rFonts w:ascii="Garamond" w:hAnsi="Garamond"/>
        </w:rPr>
      </w:pPr>
    </w:p>
    <w:p w14:paraId="026EA94C" w14:textId="44B01592" w:rsidR="003972B1" w:rsidRDefault="003972B1" w:rsidP="003972B1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For the list of journals covered see [here]; for the full method &amp; technical implementation details see [here]; </w:t>
      </w:r>
      <w:r>
        <w:rPr>
          <w:rFonts w:ascii="Garamond" w:hAnsi="Garamond"/>
        </w:rPr>
        <w:t xml:space="preserve">for downloading the data see [here]; </w:t>
      </w:r>
      <w:r>
        <w:rPr>
          <w:rFonts w:ascii="Garamond" w:hAnsi="Garamond"/>
        </w:rPr>
        <w:t xml:space="preserve">for contacting me to suggest further features, or ask questions, see [here]. </w:t>
      </w:r>
    </w:p>
    <w:p w14:paraId="7D904630" w14:textId="77777777" w:rsidR="003972B1" w:rsidRDefault="003972B1" w:rsidP="00B860D2">
      <w:pPr>
        <w:spacing w:after="0"/>
        <w:rPr>
          <w:rFonts w:ascii="Garamond" w:hAnsi="Garamond"/>
        </w:rPr>
      </w:pPr>
    </w:p>
    <w:p w14:paraId="5C2967F8" w14:textId="4E3A9CB0" w:rsidR="003972B1" w:rsidRDefault="003972B1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Happy researching!” </w:t>
      </w:r>
    </w:p>
    <w:p w14:paraId="14CCE104" w14:textId="77777777" w:rsidR="00A673FD" w:rsidRDefault="00A673FD" w:rsidP="00B860D2">
      <w:pPr>
        <w:spacing w:after="0"/>
        <w:rPr>
          <w:rFonts w:ascii="Garamond" w:hAnsi="Garamond"/>
        </w:rPr>
      </w:pPr>
    </w:p>
    <w:p w14:paraId="70AF4201" w14:textId="260ADCFF" w:rsidR="00A673FD" w:rsidRPr="00B860D2" w:rsidRDefault="00A673FD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Then comes the block with the major numbers for authors, texts, citations placed, journals included, period covered. </w:t>
      </w:r>
    </w:p>
    <w:p w14:paraId="56758AA6" w14:textId="6CF1FFAA" w:rsidR="00B860D2" w:rsidRDefault="00B860D2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14587007" w14:textId="24F3A6B0" w:rsidR="00A673FD" w:rsidRDefault="00A673FD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Then the preview for the three viewers, stacked, with thumbnails on the left, a short headline plus mini-paragraph on the right. </w:t>
      </w:r>
    </w:p>
    <w:p w14:paraId="060159E8" w14:textId="77777777" w:rsidR="00A673FD" w:rsidRDefault="00A673FD" w:rsidP="00B860D2">
      <w:pPr>
        <w:spacing w:after="0"/>
        <w:rPr>
          <w:rFonts w:ascii="Garamond" w:hAnsi="Garamond"/>
        </w:rPr>
      </w:pPr>
    </w:p>
    <w:p w14:paraId="21D6572C" w14:textId="301FA430" w:rsidR="00A673FD" w:rsidRDefault="00A673FD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Then the caveats section, which includes </w:t>
      </w:r>
      <w:proofErr w:type="spellStart"/>
      <w:r>
        <w:rPr>
          <w:rFonts w:ascii="Garamond" w:hAnsi="Garamond"/>
        </w:rPr>
        <w:t xml:space="preserve">also </w:t>
      </w:r>
      <w:proofErr w:type="spellEnd"/>
      <w:r>
        <w:rPr>
          <w:rFonts w:ascii="Garamond" w:hAnsi="Garamond"/>
        </w:rPr>
        <w:t xml:space="preserve">a shortened version of what’s currently the massive floor vs fade graph. We need to feature a good set of samples here, just to illustrate the concept. We preserve the total floor-vs-fades graph elsewhere. Maybe it has its own space in the Methods section. TBD. </w:t>
      </w:r>
    </w:p>
    <w:p w14:paraId="67FC45DB" w14:textId="77777777" w:rsidR="00A673FD" w:rsidRDefault="00A673FD" w:rsidP="00B860D2">
      <w:pPr>
        <w:spacing w:after="0"/>
        <w:rPr>
          <w:rFonts w:ascii="Garamond" w:hAnsi="Garamond"/>
        </w:rPr>
      </w:pPr>
    </w:p>
    <w:p w14:paraId="2514D8D1" w14:textId="375662D0" w:rsidR="00A673FD" w:rsidRDefault="00A673FD" w:rsidP="00B860D2">
      <w:p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Then the contact snippet and the acknowledgments as they are now, unchanged. </w:t>
      </w:r>
    </w:p>
    <w:p w14:paraId="0F351400" w14:textId="77777777" w:rsidR="00A673FD" w:rsidRPr="00B860D2" w:rsidRDefault="00A673FD" w:rsidP="00B860D2">
      <w:pPr>
        <w:spacing w:after="0"/>
        <w:rPr>
          <w:rFonts w:ascii="Garamond" w:hAnsi="Garamond"/>
        </w:rPr>
      </w:pPr>
    </w:p>
    <w:sectPr w:rsidR="00A673FD" w:rsidRPr="00B86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BC4809"/>
    <w:multiLevelType w:val="hybridMultilevel"/>
    <w:tmpl w:val="1A92C38A"/>
    <w:lvl w:ilvl="0" w:tplc="AA04D6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56DB1"/>
    <w:multiLevelType w:val="hybridMultilevel"/>
    <w:tmpl w:val="AC06CE24"/>
    <w:lvl w:ilvl="0" w:tplc="0EB0F3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DF7ED8"/>
    <w:multiLevelType w:val="hybridMultilevel"/>
    <w:tmpl w:val="731C546E"/>
    <w:lvl w:ilvl="0" w:tplc="0544464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3406969">
    <w:abstractNumId w:val="0"/>
  </w:num>
  <w:num w:numId="2" w16cid:durableId="564296748">
    <w:abstractNumId w:val="2"/>
  </w:num>
  <w:num w:numId="3" w16cid:durableId="204513567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D2"/>
    <w:rsid w:val="0001184E"/>
    <w:rsid w:val="00040CE3"/>
    <w:rsid w:val="002754C9"/>
    <w:rsid w:val="002E7FAE"/>
    <w:rsid w:val="003972B1"/>
    <w:rsid w:val="004C040F"/>
    <w:rsid w:val="00623D88"/>
    <w:rsid w:val="00724263"/>
    <w:rsid w:val="007518C8"/>
    <w:rsid w:val="00A673FD"/>
    <w:rsid w:val="00B8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86216"/>
  <w15:chartTrackingRefBased/>
  <w15:docId w15:val="{4AEE2C0B-AB74-9147-AC47-B4BD2C25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Kretz</dc:creator>
  <cp:keywords/>
  <dc:description/>
  <cp:lastModifiedBy>David Kretz</cp:lastModifiedBy>
  <cp:revision>2</cp:revision>
  <dcterms:created xsi:type="dcterms:W3CDTF">2026-08-20T16:17:00Z</dcterms:created>
  <dcterms:modified xsi:type="dcterms:W3CDTF">2026-08-20T17:29:00Z</dcterms:modified>
</cp:coreProperties>
</file>