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INFORME DEL 28 SEPTIEMBRE DEL 2026 HASTA EL 4 OCTUBRE DEL 2026</w:t>
      </w:r>
    </w:p>
    <w:p>
      <w:r>
        <w:t>Primero hay que aclarar que la información de Destinos y Aplicaciones es muy general y que muchos sitios visitados por usuarios se encuentran encapsulados en protocolos y Aplicaciones que Fortinet no tiene clasificados. El tráfico total analizado por Application Control en este corte (lunes 28 de septiembre 00:00 a domingo 4 de octubre 23:59 de 2026) fue de 2.83 TB.</w:t>
      </w:r>
    </w:p>
    <w:p>
      <w:r>
        <w:rPr>
          <w:b/>
        </w:rPr>
        <w:t>¿Cuáles fueron las aplicaciones de mayor consumo y por qué?</w:t>
      </w:r>
    </w:p>
    <w:p>
      <w:r>
        <w:t>Network Service lidera con 910.55 GB (31.43 %), sobre todo QUIC (317.06 GB) y el resto SSL/TLS. Collaboration suma 848.16 GB: WhatsApp 360.80 GB. General Interest es Google.Services (478.15 GB) dentro de 584.07 GB. Update aporta 199.29 GB, de los cuales Microsoft.Windows.Update son 164.74 GB. Facebook registra 50.84 GB y TikTok 40.62 GB. YouTube registra 32.35 GB, Spotify 7.08 GB y Netflix 4.41 GB. OpenAI.ChatGPT registra 13.61 GB y Claude 1.13 GB. AnyDesk registra 626.93 MB. Cloudflare.1.1.1.1.VPN registra 85.39 MB.</w:t>
      </w:r>
    </w:p>
    <w:p>
      <w:r>
        <w:t>Remote Access muestra AnyDesk como herramienta principal y un residual de TeamViewer. Conviene confirmar que corresponda a soportes autorizados. La categoría Proxy de este corte incluye clientes de evasión, con el volumen indicado en los tickets.</w:t>
      </w:r>
    </w:p>
    <w:p>
      <w:r>
        <w:rPr>
          <w:b/>
        </w:rPr>
        <w:t>¿Cuáles fueron las categorías de mayor consumo y por qué?</w:t>
      </w:r>
    </w:p>
    <w:p>
      <w:r>
        <w:t>Por Application Control (ancho de banda):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Categoría</w:t>
            </w:r>
          </w:p>
        </w:tc>
        <w:tc>
          <w:tcPr>
            <w:tcW w:type="dxa" w:w="2880"/>
          </w:tcPr>
          <w:p>
            <w:r>
              <w:t>Consumo</w:t>
            </w:r>
          </w:p>
        </w:tc>
        <w:tc>
          <w:tcPr>
            <w:tcW w:type="dxa" w:w="2880"/>
          </w:tcPr>
          <w:p>
            <w:r>
              <w:t>% aprox.</w:t>
            </w:r>
          </w:p>
        </w:tc>
      </w:tr>
      <w:tr>
        <w:tc>
          <w:tcPr>
            <w:tcW w:type="dxa" w:w="2880"/>
          </w:tcPr>
          <w:p>
            <w:r>
              <w:t>Network Service</w:t>
            </w:r>
          </w:p>
        </w:tc>
        <w:tc>
          <w:tcPr>
            <w:tcW w:type="dxa" w:w="2880"/>
          </w:tcPr>
          <w:p>
            <w:r>
              <w:t>910.55 GB</w:t>
            </w:r>
          </w:p>
        </w:tc>
        <w:tc>
          <w:tcPr>
            <w:tcW w:type="dxa" w:w="2880"/>
          </w:tcPr>
          <w:p>
            <w:r>
              <w:t>31.43 %</w:t>
            </w:r>
          </w:p>
        </w:tc>
      </w:tr>
      <w:tr>
        <w:tc>
          <w:tcPr>
            <w:tcW w:type="dxa" w:w="2880"/>
          </w:tcPr>
          <w:p>
            <w:r>
              <w:t>Collaboration</w:t>
            </w:r>
          </w:p>
        </w:tc>
        <w:tc>
          <w:tcPr>
            <w:tcW w:type="dxa" w:w="2880"/>
          </w:tcPr>
          <w:p>
            <w:r>
              <w:t>848.16 GB</w:t>
            </w:r>
          </w:p>
        </w:tc>
        <w:tc>
          <w:tcPr>
            <w:tcW w:type="dxa" w:w="2880"/>
          </w:tcPr>
          <w:p>
            <w:r>
              <w:t>29.27 %</w:t>
            </w:r>
          </w:p>
        </w:tc>
      </w:tr>
      <w:tr>
        <w:tc>
          <w:tcPr>
            <w:tcW w:type="dxa" w:w="2880"/>
          </w:tcPr>
          <w:p>
            <w:r>
              <w:t>General Interest</w:t>
            </w:r>
          </w:p>
        </w:tc>
        <w:tc>
          <w:tcPr>
            <w:tcW w:type="dxa" w:w="2880"/>
          </w:tcPr>
          <w:p>
            <w:r>
              <w:t>584.07 GB</w:t>
            </w:r>
          </w:p>
        </w:tc>
        <w:tc>
          <w:tcPr>
            <w:tcW w:type="dxa" w:w="2880"/>
          </w:tcPr>
          <w:p>
            <w:r>
              <w:t>20.16 %</w:t>
            </w:r>
          </w:p>
        </w:tc>
      </w:tr>
      <w:tr>
        <w:tc>
          <w:tcPr>
            <w:tcW w:type="dxa" w:w="2880"/>
          </w:tcPr>
          <w:p>
            <w:r>
              <w:t>Update</w:t>
            </w:r>
          </w:p>
        </w:tc>
        <w:tc>
          <w:tcPr>
            <w:tcW w:type="dxa" w:w="2880"/>
          </w:tcPr>
          <w:p>
            <w:r>
              <w:t>199.29 GB</w:t>
            </w:r>
          </w:p>
        </w:tc>
        <w:tc>
          <w:tcPr>
            <w:tcW w:type="dxa" w:w="2880"/>
          </w:tcPr>
          <w:p>
            <w:r>
              <w:t>6.88 %</w:t>
            </w:r>
          </w:p>
        </w:tc>
      </w:tr>
      <w:tr>
        <w:tc>
          <w:tcPr>
            <w:tcW w:type="dxa" w:w="2880"/>
          </w:tcPr>
          <w:p>
            <w:r>
              <w:t>Storage.Backup</w:t>
            </w:r>
          </w:p>
        </w:tc>
        <w:tc>
          <w:tcPr>
            <w:tcW w:type="dxa" w:w="2880"/>
          </w:tcPr>
          <w:p>
            <w:r>
              <w:t>59.29 GB</w:t>
            </w:r>
          </w:p>
        </w:tc>
        <w:tc>
          <w:tcPr>
            <w:tcW w:type="dxa" w:w="2880"/>
          </w:tcPr>
          <w:p>
            <w:r>
              <w:t>2.05 %</w:t>
            </w:r>
          </w:p>
        </w:tc>
      </w:tr>
      <w:tr>
        <w:tc>
          <w:tcPr>
            <w:tcW w:type="dxa" w:w="2880"/>
          </w:tcPr>
          <w:p>
            <w:r>
              <w:t>Desconocido / Other (resto)</w:t>
            </w:r>
          </w:p>
        </w:tc>
        <w:tc>
          <w:tcPr>
            <w:tcW w:type="dxa" w:w="2880"/>
          </w:tcPr>
          <w:p>
            <w:r>
              <w:t>295.84 GB</w:t>
            </w:r>
          </w:p>
        </w:tc>
        <w:tc>
          <w:tcPr>
            <w:tcW w:type="dxa" w:w="2880"/>
          </w:tcPr>
          <w:p>
            <w:r>
              <w:t>10.20 %</w:t>
            </w:r>
          </w:p>
        </w:tc>
      </w:tr>
    </w:tbl>
    <w:p/>
    <w:p>
      <w:r>
        <w:t>Network Service corresponde al tráfico cifrado (QUIC/SSL) que Fortinet no abre. General Interest es sobre todo Google. Collaboration es WhatsApp y Microsoft 365. Update son parches de Windows y Adobe. Storage Backup es OneDrive, iCloud y Google Drive. Desconocido / Other (resto) agrupa Unknown y las categorías menores de este corte (Social Media, Video/Audio, GenAI, Cloud, correo, VoIP y acceso remoto). Dentro de ese resto, la categoría Unknown de Fortinet es 56.54 GB (1.95 %).</w:t>
      </w:r>
    </w:p>
    <w:p>
      <w:r>
        <w:t>Por filtro web, las categorías de mayor ancho de banda fueron:</w:t>
      </w:r>
    </w:p>
    <w:p>
      <w:r>
        <w:t>1. Information Technology: 603.04 GB</w:t>
      </w:r>
    </w:p>
    <w:p>
      <w:r>
        <w:t>2. Instant Messaging: 455.05 GB</w:t>
      </w:r>
    </w:p>
    <w:p>
      <w:r>
        <w:t>3. Search Engines and Portals: 118.42 GB</w:t>
      </w:r>
    </w:p>
    <w:p>
      <w:r>
        <w:t>4. Streaming Media and Download: 90.96 GB</w:t>
      </w:r>
    </w:p>
    <w:p>
      <w:r>
        <w:t>5. File Sharing and Storage: 88.53 GB</w:t>
      </w:r>
    </w:p>
    <w:p>
      <w:r>
        <w:t>6. Web-based Applications: 65.53 GB</w:t>
      </w:r>
    </w:p>
    <w:p>
      <w:r>
        <w:rPr>
          <w:b/>
        </w:rPr>
        <w:t>¿Cuáles fueron los usuarios con mayor consumo y por qué?</w:t>
      </w:r>
    </w:p>
    <w:p>
      <w:r>
        <w:t>192.168.55.78 encabeza el consumo web con 36.82 GB. ADM-SUMINISP07 (192.168.2.49) consume 19.39 GB y, en el mismo corte, ADM-GERENCIAP04 aparece con la misma IP 192.168.2.49 y 14.35 GB. Conviene no sumarlos como dos equipos distintos sin inventario. 192.168.2.33 consume 18.72 GB y ADM-SUMINIS25 (192.168.52.165) consume 16.00 GB. En reputación encabezan 172.17.23.2, SOPORTE y 2001:67c:254:b0b0::abba. También figuran 169.254.11.9, 172.16.181.64 y LIB-ADMISION01.</w:t>
      </w:r>
    </w:p>
    <w:p>
      <w:r>
        <w:t>Top de ancho de banda web:</w:t>
      </w:r>
    </w:p>
    <w:p>
      <w:r>
        <w:t>1. 192.168.55.78 — 36.82 GB</w:t>
      </w:r>
    </w:p>
    <w:p>
      <w:r>
        <w:t>2. ADM-SUMINISP07 (192.168.2.49) — 19.39 GB</w:t>
      </w:r>
    </w:p>
    <w:p>
      <w:r>
        <w:t>3. 192.168.2.33 — 18.72 GB</w:t>
      </w:r>
    </w:p>
    <w:p>
      <w:r>
        <w:t>4. ADM-SUMINIS25 (192.168.52.165) — 16.00 GB</w:t>
      </w:r>
    </w:p>
    <w:p>
      <w:r>
        <w:t>5. ADM-GERENCIAP04 (192.168.2.49) — 14.35 GB</w:t>
      </w:r>
    </w:p>
    <w:p>
      <w:r>
        <w:rPr>
          <w:b/>
        </w:rPr>
        <w:t>¿Cuáles fueron los destinos con mayor consumo, a cuál empresa o dominio apuntan y por qué?, Bloquear los que no sean de uso corporativo (videos, radio, etc.)</w:t>
      </w:r>
    </w:p>
    <w:p>
      <w:r>
        <w:t>El mayor destino es el CDN de WhatsApp, de Meta: media-bog2-1.cdn.whatsapp.net 197.28 GB, media-bog2-2.cdn.whatsapp.net 145.26 GB y static.whatsapp.net 81.33 GB. Siguen actualizaciones de Microsoft (tlu.dl.delivery.mp.microsoft.com 39.13 GB), photos.googleapis.com (38.29 GB), web.whatsapp.com (30.40 GB), mail.google.com (26.10 GB) y subidas a Google Cloud Storage (25.89 GB). Uso institucional: imagenes-neps-prod.s3 (23.48 GB) e imsalud.opecolombia.com (21.81 GB). docs.google.com suma 21.75 GB y sb.teams.static.microsoft 23.49 GB.</w:t>
      </w:r>
    </w:p>
    <w:p>
      <w:r>
        <w:t>El 29 de septiembre LOM-URG04 sostuvo radio30.virtualtronics.com durante 1,038 minutos (cerca de 997 MB) y 192.168.2.43 subió 417.40 MB a upload.youtube.com. El 2 de octubre LIB-HOSP03 consumió stream-289.surfernetwork.com (965.25 MB) y PBL-ADMISION02 consumió stream-178.surfernetwork.com (810.04 MB). El 1 de octubre PBL-ADMISION02 sostuvo stream-288 y stream-179 de surfernetwork. El 3 de octubre LIB-URGENCIAS01 consumió stream-286.surfernetwork.com (650.63 MB). Internet Radio and TV registra 9,386 bloqueos, pero estas radios salen clasificadas como Information Technology. Other Adult Materials registra 49,012 solicitudes bloqueadas.</w:t>
      </w:r>
    </w:p>
    <w:p>
      <w:r>
        <w:t>Como se puede apreciar Fortinet no es preciso en cuanto a los destinos en Application Control, ya que mucho tráfico queda en SSL/QUIC/Unknown. En los reportes web sí hay nombre de dominio, pero varias CDN no permiten ver el servicio de negocio final.</w:t>
      </w:r>
    </w:p>
    <w:p>
      <w:r>
        <w:rPr>
          <w:b/>
        </w:rPr>
        <w:t>Recomendación de bloqueo / ajuste de políticas (no corporativo):</w:t>
      </w:r>
    </w:p>
    <w:p>
      <w:r>
        <w:t>Radios y streaming no institucionales: *.virtualtronics.com, *.surfernetwork.com y CDN de audio mdstrm.</w:t>
      </w:r>
    </w:p>
    <w:p>
      <w:r>
        <w:t>Video y redes recreativas: YouTube (incluida la subida upload.youtube.com), Netflix, Spotify, TikTok y Facebook, salvo excepción autorizada.</w:t>
      </w:r>
    </w:p>
    <w:p>
      <w:r>
        <w:t>Proxy y VPN de evasión: Cloudflare 1.1.1.1 VPN, Proxy.HTTP, WireGuard, Psiphon, Hola.VPN y Ultrasurf.</w:t>
      </w:r>
    </w:p>
    <w:p>
      <w:r>
        <w:t>Mantener el bloqueo de Freeware no corporativo, Shopping, Games y materiales para adultos.</w:t>
      </w:r>
    </w:p>
    <w:p>
      <w:r>
        <w:rPr>
          <w:b/>
        </w:rPr>
        <w:t>¿Qué se observa en la sección de uso web?</w:t>
      </w:r>
    </w:p>
    <w:p>
      <w:r>
        <w:t>El ancho de banda web lo encabezan Information Technology (603.04 GB) e Instant Messaging (455.05 GB). Search Engines and Portals suma 118.42 GB, Streaming Media and Download 90.96 GB y File Sharing 88.53 GB. La categoría más bloqueada es Freeware and Software Downloads, con 2,258,236 solicitudes. Siguen Streaming (232,572), Shopping (217,970), Advertising (148,547), Games (133,828) y Other Adult Materials (49,012). Proxy Avoidance registra 21,378 solicitudes. El equipo con más bloqueos es 172.16.211.16 (89,637), seguido de 172.16.231.32 (63,198) y PBL-URG07 (59,354).</w:t>
      </w:r>
    </w:p>
    <w:p>
      <w:r>
        <w:t>Categorías más bloqueadas:</w:t>
      </w:r>
    </w:p>
    <w:p>
      <w:r>
        <w:t>1. Freeware and Software Downloads: 2,258,236 solicitudes</w:t>
      </w:r>
    </w:p>
    <w:p>
      <w:r>
        <w:t>2. Streaming Media and Download: 232,572 solicitudes</w:t>
      </w:r>
    </w:p>
    <w:p>
      <w:r>
        <w:t>3. Shopping: 217,970 solicitudes</w:t>
      </w:r>
    </w:p>
    <w:p>
      <w:r>
        <w:t>4. Advertising: 148,547 solicitudes</w:t>
      </w:r>
    </w:p>
    <w:p>
      <w:r>
        <w:t>5. Games: 133,828 solicitudes</w:t>
      </w:r>
    </w:p>
    <w:p>
      <w:r>
        <w:t>6. Other Adult Materials: 49,012 solicitudes</w:t>
      </w:r>
    </w:p>
    <w:p>
      <w:r>
        <w:t>7. Proxy Avoidance: 21,378 solicitudes</w:t>
      </w:r>
    </w:p>
    <w:p>
      <w:r>
        <w:t>8. Internet Radio and TV: 9,386 solicitudes</w:t>
      </w:r>
    </w:p>
    <w:p>
      <w:r>
        <w:t>Usuarios con más bloqueos:</w:t>
      </w:r>
    </w:p>
    <w:p>
      <w:r>
        <w:t>1. 172.16.211.16 — 89,637</w:t>
      </w:r>
    </w:p>
    <w:p>
      <w:r>
        <w:t>2. 172.16.231.32 — 63,198</w:t>
      </w:r>
    </w:p>
    <w:p>
      <w:r>
        <w:t>3. PBL-URG07 (172.16.181.47) — 59,354</w:t>
      </w:r>
    </w:p>
    <w:p>
      <w:r>
        <w:t>4. POL-URG13 (172.16.231.16) — 54,965</w:t>
      </w:r>
    </w:p>
    <w:p>
      <w:r>
        <w:rPr>
          <w:b/>
        </w:rPr>
        <w:t>Tickets de revisión / ajuste de políticas (comportamientos anómalos)</w:t>
      </w:r>
    </w:p>
    <w:p>
      <w:r>
        <w:t>Con base en los hallazgos de este corte, se proponen los siguientes tickets:</w:t>
      </w:r>
    </w:p>
    <w:p>
      <w:r>
        <w:rPr>
          <w:b/>
        </w:rPr>
        <w:t xml:space="preserve">TKT-UTM-2026-09-28-01 [Alta] — Radios y streaming: </w:t>
      </w:r>
      <w:r>
        <w:t>Revisar LOM-URG04, LIB-HOSP03, PBL-ADMISION02 y LIB-URGENCIAS01 por sesiones largas hacia virtualtronics.com y surfernetwork.com. Bloquear esos dominios si no son de uso corporativo.</w:t>
      </w:r>
    </w:p>
    <w:p>
      <w:r>
        <w:rPr>
          <w:b/>
        </w:rPr>
        <w:t xml:space="preserve">TKT-UTM-2026-09-28-02 [Alta] — Cloudflare 1.1.1.1 VPN: </w:t>
      </w:r>
      <w:r>
        <w:t>Application Control clasifica 85.39 MB de Cloudflare.1.1.1.1.VPN, además de Proxy.HTTP (18.86 MB). Revisar el equipo de origen y reforzar la categoría Proxy.</w:t>
      </w:r>
    </w:p>
    <w:p>
      <w:r>
        <w:rPr>
          <w:b/>
        </w:rPr>
        <w:t xml:space="preserve">TKT-UTM-2026-09-28-03 [Alta] — Other Adult Materials: </w:t>
      </w:r>
      <w:r>
        <w:t>El filtro web bloqueó 49,012 solicitudes de Other Adult Materials. Identificar usuarios, en especial 172.16.211.16 (89,637 bloqueos) y 172.16.231.32 (63,198).</w:t>
      </w:r>
    </w:p>
    <w:p>
      <w:r>
        <w:rPr>
          <w:b/>
        </w:rPr>
        <w:t xml:space="preserve">TKT-UTM-2026-09-28-04 [Media] — 192.168.2.43: </w:t>
      </w:r>
      <w:r>
        <w:t>Subida de 417.40 MB a upload.youtube.com el 29 de septiembre. Confirmar si el video es institucional.</w:t>
      </w:r>
    </w:p>
    <w:p>
      <w:r>
        <w:rPr>
          <w:b/>
        </w:rPr>
        <w:t xml:space="preserve">TKT-UTM-2026-09-28-05 [Media] — 192.168.2.49: </w:t>
      </w:r>
      <w:r>
        <w:t>En este corte la misma IP figura como ADM-SUMINISP07 y como ADM-GERENCIAP04. Unificar el inventario para no contarla dos veces.</w:t>
      </w:r>
    </w:p>
    <w:p>
      <w:r>
        <w:rPr>
          <w:b/>
        </w:rPr>
        <w:t xml:space="preserve">TKT-UTM-2026-09-28-06 [Baja] — AnyDesk: </w:t>
      </w:r>
      <w:r>
        <w:t>Confirmar que los 626.93 MB de AnyDesk corresponden a soporte autorizado.</w:t>
      </w:r>
    </w:p>
    <w:p>
      <w:r>
        <w:rPr>
          <w:b/>
        </w:rPr>
        <w:t>Nota de continuidad:</w:t>
      </w:r>
    </w:p>
    <w:p>
      <w:r>
        <w:t>En los PDF de este corte, Unknown suma 56.54 GB (1.95 %), sobre todo udp/443 (21.28 GB). 192.168.55.78 lidera el consumo web con 36.82 GB y no trae otro hostname. La IP 192.168.2.49 aparece como ADM-SUMINISP07 (19.39 GB) y como ADM-GERENCIAP04 (14.35 GB). LOM-URG04, LIB-HOSP03, PBL-ADMISION02 y LIB-URGENCIAS01 sostienen radio o streaming. 192.168.2.43 sube 417.40 MB a upload.youtube.com. Cloudflare.1.1.1.1.VPN registra 85.39 MB. Other Adult Materials registra 49,012 bloqueos. AnyDesk registra 626.93 MB.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