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INFORME DEL 10 AGOSTO DEL 2026 HASTA EL 16 AGOSTO DEL 2026</w:t>
      </w:r>
    </w:p>
    <w:p>
      <w:r>
        <w:t>Primero hay que aclarar que la información de Destinos y Aplicaciones es muy general y que muchos sitios visitados por usuarios se encuentran encapsulados en protocolos y Aplicaciones que Fortinet no tiene clasificados. El tráfico total analizado por Application Control en la semana (lunes 10 de agosto 00:00 a domingo 16 de agosto 23:59 de 2026) fue de 4.04 TB.</w:t>
      </w:r>
    </w:p>
    <w:p>
      <w:r>
        <w:rPr>
          <w:b/>
        </w:rPr>
        <w:t>¿Cuáles fueron las aplicaciones de mayor consumo y por qué?</w:t>
      </w:r>
    </w:p>
    <w:p>
      <w:r>
        <w:t>General Interest ocupa el primer lugar (1.88 TB, 46.49 %) casi todo en Google.Services (1.79 TB). Network Service queda segundo (QUIC 406.28 GB, SSL y TLS). WhatsApp es la aplicación de colaboración más pesada (338.08 GB más 101.56 GB de transferencia de archivos). Windows Update aporta 210.99 GB y Adobe Update 38.00 GB, descargas de mantenimiento.</w:t>
      </w:r>
    </w:p>
    <w:p>
      <w:r>
        <w:t>Remote Access muestra AnyDesk como herramienta principal y un residual de TeamViewer. Conviene confirmar que corresponda a soportes autorizados. La categoría Proxy de este corte incluye clientes de evasión (Hola.VPN, Psiphon, Proton, Ultrasurf o similares), con poco volumen.</w:t>
      </w:r>
    </w:p>
    <w:p>
      <w:r>
        <w:rPr>
          <w:b/>
        </w:rPr>
        <w:t>¿Cuáles fueron las categorías de mayor consumo y por qué?</w:t>
      </w:r>
    </w:p>
    <w:p>
      <w:r>
        <w:t>Por Application Control (ancho de banda):</w:t>
      </w:r>
    </w:p>
    <w:tbl>
      <w:tblPr>
        <w:tblStyle w:val="TableGrid"/>
        <w:tblW w:type="auto" w:w="0"/>
        <w:tblLook w:firstColumn="1" w:firstRow="1" w:lastColumn="0" w:lastRow="0" w:noHBand="0" w:noVBand="1" w:val="04A0"/>
      </w:tblPr>
      <w:tblGrid>
        <w:gridCol w:w="2880"/>
        <w:gridCol w:w="2880"/>
        <w:gridCol w:w="2880"/>
      </w:tblGrid>
      <w:tr>
        <w:tc>
          <w:tcPr>
            <w:tcW w:type="dxa" w:w="2880"/>
          </w:tcPr>
          <w:p>
            <w:r>
              <w:t>Categoría</w:t>
            </w:r>
          </w:p>
        </w:tc>
        <w:tc>
          <w:tcPr>
            <w:tcW w:type="dxa" w:w="2880"/>
          </w:tcPr>
          <w:p>
            <w:r>
              <w:t>Consumo</w:t>
            </w:r>
          </w:p>
        </w:tc>
        <w:tc>
          <w:tcPr>
            <w:tcW w:type="dxa" w:w="2880"/>
          </w:tcPr>
          <w:p>
            <w:r>
              <w:t>% aprox.</w:t>
            </w:r>
          </w:p>
        </w:tc>
      </w:tr>
      <w:tr>
        <w:tc>
          <w:tcPr>
            <w:tcW w:type="dxa" w:w="2880"/>
          </w:tcPr>
          <w:p>
            <w:r>
              <w:t>General Interest</w:t>
            </w:r>
          </w:p>
        </w:tc>
        <w:tc>
          <w:tcPr>
            <w:tcW w:type="dxa" w:w="2880"/>
          </w:tcPr>
          <w:p>
            <w:r>
              <w:t>1.88 TB</w:t>
            </w:r>
          </w:p>
        </w:tc>
        <w:tc>
          <w:tcPr>
            <w:tcW w:type="dxa" w:w="2880"/>
          </w:tcPr>
          <w:p>
            <w:r>
              <w:t>46.49 %</w:t>
            </w:r>
          </w:p>
        </w:tc>
      </w:tr>
      <w:tr>
        <w:tc>
          <w:tcPr>
            <w:tcW w:type="dxa" w:w="2880"/>
          </w:tcPr>
          <w:p>
            <w:r>
              <w:t>Network Service</w:t>
            </w:r>
          </w:p>
        </w:tc>
        <w:tc>
          <w:tcPr>
            <w:tcW w:type="dxa" w:w="2880"/>
          </w:tcPr>
          <w:p>
            <w:r>
              <w:t>1,013.05 GB</w:t>
            </w:r>
          </w:p>
        </w:tc>
        <w:tc>
          <w:tcPr>
            <w:tcW w:type="dxa" w:w="2880"/>
          </w:tcPr>
          <w:p>
            <w:r>
              <w:t>24.49 %</w:t>
            </w:r>
          </w:p>
        </w:tc>
      </w:tr>
      <w:tr>
        <w:tc>
          <w:tcPr>
            <w:tcW w:type="dxa" w:w="2880"/>
          </w:tcPr>
          <w:p>
            <w:r>
              <w:t>Collaboration</w:t>
            </w:r>
          </w:p>
        </w:tc>
        <w:tc>
          <w:tcPr>
            <w:tcW w:type="dxa" w:w="2880"/>
          </w:tcPr>
          <w:p>
            <w:r>
              <w:t>642.36 GB</w:t>
            </w:r>
          </w:p>
        </w:tc>
        <w:tc>
          <w:tcPr>
            <w:tcW w:type="dxa" w:w="2880"/>
          </w:tcPr>
          <w:p>
            <w:r>
              <w:t>15.53 %</w:t>
            </w:r>
          </w:p>
        </w:tc>
      </w:tr>
      <w:tr>
        <w:tc>
          <w:tcPr>
            <w:tcW w:type="dxa" w:w="2880"/>
          </w:tcPr>
          <w:p>
            <w:r>
              <w:t>Update</w:t>
            </w:r>
          </w:p>
        </w:tc>
        <w:tc>
          <w:tcPr>
            <w:tcW w:type="dxa" w:w="2880"/>
          </w:tcPr>
          <w:p>
            <w:r>
              <w:t>263.39 GB</w:t>
            </w:r>
          </w:p>
        </w:tc>
        <w:tc>
          <w:tcPr>
            <w:tcW w:type="dxa" w:w="2880"/>
          </w:tcPr>
          <w:p>
            <w:r>
              <w:t>6.37 %</w:t>
            </w:r>
          </w:p>
        </w:tc>
      </w:tr>
      <w:tr>
        <w:tc>
          <w:tcPr>
            <w:tcW w:type="dxa" w:w="2880"/>
          </w:tcPr>
          <w:p>
            <w:r>
              <w:t>Storage.Backup</w:t>
            </w:r>
          </w:p>
        </w:tc>
        <w:tc>
          <w:tcPr>
            <w:tcW w:type="dxa" w:w="2880"/>
          </w:tcPr>
          <w:p>
            <w:r>
              <w:t>89.52 GB</w:t>
            </w:r>
          </w:p>
        </w:tc>
        <w:tc>
          <w:tcPr>
            <w:tcW w:type="dxa" w:w="2880"/>
          </w:tcPr>
          <w:p>
            <w:r>
              <w:t>2.16 %</w:t>
            </w:r>
          </w:p>
        </w:tc>
      </w:tr>
      <w:tr>
        <w:tc>
          <w:tcPr>
            <w:tcW w:type="dxa" w:w="2880"/>
          </w:tcPr>
          <w:p>
            <w:r>
              <w:t>Desconocido / Other (resto)</w:t>
            </w:r>
          </w:p>
        </w:tc>
        <w:tc>
          <w:tcPr>
            <w:tcW w:type="dxa" w:w="2880"/>
          </w:tcPr>
          <w:p>
            <w:r>
              <w:t>205.05 GB</w:t>
            </w:r>
          </w:p>
        </w:tc>
        <w:tc>
          <w:tcPr>
            <w:tcW w:type="dxa" w:w="2880"/>
          </w:tcPr>
          <w:p>
            <w:r>
              <w:t>4.96 %</w:t>
            </w:r>
          </w:p>
        </w:tc>
      </w:tr>
    </w:tbl>
    <w:p/>
    <w:p>
      <w:r>
        <w:t>Network Service corresponde al tráfico cifrado (QUIC/SSL) que Fortinet no abre. General Interest es sobre todo Google. Collaboration es WhatsApp y Microsoft 365. Update son parches de Windows y Adobe. Storage Backup es OneDrive, iCloud y Google Drive. Desconocido / Other (resto) agrupa Unknown y las categorías menores de este corte (Social Media, Video/Audio, GenAI, Cloud, correo, VoIP y acceso remoto). Dentro de ese resto, la categoría Unknown de Fortinet es 90.62 GB (2.19 %).</w:t>
      </w:r>
    </w:p>
    <w:p>
      <w:r>
        <w:t>Por filtro web, las categorías de mayor ancho de banda fueron:</w:t>
      </w:r>
    </w:p>
    <w:p>
      <w:r>
        <w:t>1. Information Technology: 622.66 GB</w:t>
      </w:r>
    </w:p>
    <w:p>
      <w:r>
        <w:t>2. Instant Messaging: 303.81 GB</w:t>
      </w:r>
    </w:p>
    <w:p>
      <w:r>
        <w:t>3. Search Engines and Portals: 101.01 GB</w:t>
      </w:r>
    </w:p>
    <w:p>
      <w:r>
        <w:t>4. File Sharing and Storage: 54.59 GB</w:t>
      </w:r>
    </w:p>
    <w:p>
      <w:r>
        <w:t>5. Web-based Applications: 49.15 GB</w:t>
      </w:r>
    </w:p>
    <w:p>
      <w:r>
        <w:t>6. Content Servers: 44.95 GB</w:t>
      </w:r>
    </w:p>
    <w:p>
      <w:r>
        <w:t>7. Health and Wellness: 43.84 GB</w:t>
      </w:r>
    </w:p>
    <w:p>
      <w:r>
        <w:t>8. Government and Legal Organizations: 39.24 GB</w:t>
      </w:r>
    </w:p>
    <w:p>
      <w:r>
        <w:rPr>
          <w:b/>
        </w:rPr>
        <w:t>¿Cuáles fueron los usuarios con mayor consumo y por qué?</w:t>
      </w:r>
    </w:p>
    <w:p>
      <w:r>
        <w:t>El usuario 172.17.74.17 concentra 1.32 TB de tráfico web, más que el resto del top 20 junto. Ese volumen coincide con dos IPs de Google que encabezan los destinos de la semana (172.217.28.106 con 854.40 GB y 172.217.162.138 con 494.14 GB). Fortinet no entrega el dominio de negocio de esas IPs; la sesión identificable de ese equipo hacia photos.googleapis.com fue de 758.94 MB, así que el grueso queda encapsulado en Google.Services. El mismo equipo lidera los bloqueos (329,640) y aparece en el top de reputación. Detrás están 192.168.9.254 (74.28 GB, NAT que arrastra radio y streaming), 192.168.2.49 (41.17 GB) y PBL-HOSP04 (16.01 GB).</w:t>
      </w:r>
    </w:p>
    <w:p>
      <w:r>
        <w:t>Top de ancho de banda web:</w:t>
      </w:r>
    </w:p>
    <w:p>
      <w:r>
        <w:t>1. 172.17.74.17 — 1.32 TB</w:t>
      </w:r>
    </w:p>
    <w:p>
      <w:r>
        <w:t>2. 192.168.9.254 — 74.28 GB</w:t>
      </w:r>
    </w:p>
    <w:p>
      <w:r>
        <w:t>3. 192.168.2.49 — 41.17 GB</w:t>
      </w:r>
    </w:p>
    <w:p>
      <w:r>
        <w:t>4. 192.168.2.45 — 22.41 GB</w:t>
      </w:r>
    </w:p>
    <w:p>
      <w:r>
        <w:t>5. PBL-HOSP04 — 16.01 GB</w:t>
      </w:r>
    </w:p>
    <w:p>
      <w:r>
        <w:t>6. 192.168.55.78 — 15.65 GB</w:t>
      </w:r>
    </w:p>
    <w:p>
      <w:r>
        <w:t>7. PBL-ADMISION02 — 15.20 GB</w:t>
      </w:r>
    </w:p>
    <w:p>
      <w:r>
        <w:t>8. 192.168.5.250 — 14.66 GB</w:t>
      </w:r>
    </w:p>
    <w:p>
      <w:r>
        <w:t>Reputación (score alto, no equivale por sí solo a consumo): 1 172.17.23.2; 2 190.71.211.218; 3 SOPORTE; 4 2001:67c:254:b0b0::abba; 5 172.17.74.17; 6 158.69.177.101. El primero de la lista no trae hostname de usuario en este corte.</w:t>
      </w:r>
    </w:p>
    <w:p>
      <w:r>
        <w:rPr>
          <w:b/>
        </w:rPr>
        <w:t>¿Cuáles fueron los destinos con mayor consumo, a cuál empresa o dominio apuntan y por qué?, Bloquear los que no sean de uso corporativo (videos, radio, etc.)</w:t>
      </w:r>
    </w:p>
    <w:p>
      <w:r>
        <w:t>Los dos primeros destinos no son dominios sino IPs de Google (172.217.28.106 y 172.217.162.138). Luego CDN de WhatsApp (media-bog2 y static.whatsapp.net), actualizaciones Microsoft/Adobe (tlu.dl.delivery.mp.microsoft.com, oneclient.sfx.ms, ardownload3.adobe.com), mail.google.com, docs.google.com, www.imsalud.gov.co e imsalud.opecolombia.com.</w:t>
      </w:r>
    </w:p>
    <w:p>
      <w:r>
        <w:t>Radios y streaming siguieron activos pese al filtro: el 16 de agosto, 192.168.9.254 y PBL-ADMISION02 sostuvieron stream-289.surfernetwork.com durante 1,440 minutos (3.35 GB cada uno). AGC-FARMACIA01 consumió radio35.virtualtronics.com (1.51 GB). Esas radios quedan clasificadas como Information Technology, por eso no caen en Internet Radio and TV.</w:t>
      </w:r>
    </w:p>
    <w:p>
      <w:r>
        <w:t>Como se puede apreciar Fortinet no es preciso en cuanto a los destinos en Application Control, ya que mucho tráfico queda en SSL/QUIC/Unknown. En los reportes web sí hay nombre de dominio, pero varias CDN e IPs de Google no permiten ver el servicio de negocio final.</w:t>
      </w:r>
    </w:p>
    <w:p>
      <w:r>
        <w:rPr>
          <w:b/>
        </w:rPr>
        <w:t>Recomendación de bloqueo / ajuste de políticas (no corporativo):</w:t>
      </w:r>
    </w:p>
    <w:p>
      <w:r>
        <w:t>Radios y streaming no institucionales: *.virtualtronics.com, *.surfernetwork.com y CDN de audio mdstrm.</w:t>
      </w:r>
    </w:p>
    <w:p>
      <w:r>
        <w:t>Video y redes recreativas: YouTube (incluida la subida upload.youtube.com), Netflix, Spotify, Disney+, TikTok y Facebook, salvo excepción autorizada.</w:t>
      </w:r>
    </w:p>
    <w:p>
      <w:r>
        <w:t>Proxy y VPN de evasión: Hola.VPN, Psiphon, Proton.VPN, Ultrasurf, CyberGhost y similares.</w:t>
      </w:r>
    </w:p>
    <w:p>
      <w:r>
        <w:t>Mantener el bloqueo ya efectivo de Freeware no corporativo, Shopping (Temu/Shein), Games y Gambling.</w:t>
      </w:r>
    </w:p>
    <w:p>
      <w:r>
        <w:rPr>
          <w:b/>
        </w:rPr>
        <w:t>¿Qué se observa en la sección de uso web?</w:t>
      </w:r>
    </w:p>
    <w:p>
      <w:r>
        <w:t>El uso web permitido lo encabezan Information Technology (622.66 GB) e Instant Messaging (303.81 GB). Application Control suma 4.04 TB, explicado por Google.Services. La categoría más bloqueada es Freeware and Software Downloads, con 2,255,242 bloqueos (play.google.com y tiendas similares), Streaming 545,339, Shopping 264,296 y Gambling 32,984. Pornography registra 2,075 bloqueos. Proxy Avoidance registra 22,023 solicitudes.</w:t>
      </w:r>
    </w:p>
    <w:p>
      <w:r>
        <w:t>Categorías más bloqueadas:</w:t>
      </w:r>
    </w:p>
    <w:p>
      <w:r>
        <w:t>1. Freeware and Software Downloads: 2,255,242 solicitudes</w:t>
      </w:r>
    </w:p>
    <w:p>
      <w:r>
        <w:t>2. Streaming Media and Download: 545,339 solicitudes</w:t>
      </w:r>
    </w:p>
    <w:p>
      <w:r>
        <w:t>3. Shopping: 264,296 solicitudes</w:t>
      </w:r>
    </w:p>
    <w:p>
      <w:r>
        <w:t>4. Advertising: 158,931 solicitudes</w:t>
      </w:r>
    </w:p>
    <w:p>
      <w:r>
        <w:t>5. Games: 97,033 solicitudes</w:t>
      </w:r>
    </w:p>
    <w:p>
      <w:r>
        <w:t>6. Unrated: 75,912 solicitudes</w:t>
      </w:r>
    </w:p>
    <w:p>
      <w:r>
        <w:t>7. Social Networking: 66,336 solicitudes</w:t>
      </w:r>
    </w:p>
    <w:p>
      <w:r>
        <w:t>8. Gambling: 32,984 solicitudes</w:t>
      </w:r>
    </w:p>
    <w:p>
      <w:r>
        <w:t>Usuarios con más bloqueos:</w:t>
      </w:r>
    </w:p>
    <w:p>
      <w:r>
        <w:t>1. 172.17.74.17 — 329,640</w:t>
      </w:r>
    </w:p>
    <w:p>
      <w:r>
        <w:t>2. AGC-CEXTERNA03 (172.17.74.34) — 243,283</w:t>
      </w:r>
    </w:p>
    <w:p>
      <w:r>
        <w:t>3. 172.17.71.22 — 135,452</w:t>
      </w:r>
    </w:p>
    <w:p>
      <w:r>
        <w:t>4. 172.17.71.25 — 60,193</w:t>
      </w:r>
    </w:p>
    <w:p>
      <w:r>
        <w:t>5. COM-VACUCOVID01 (172.17.21.24) — 57,950</w:t>
      </w:r>
    </w:p>
    <w:p>
      <w:r>
        <w:rPr>
          <w:b/>
        </w:rPr>
        <w:t>Tickets de revisión / ajuste de políticas (comportamientos anómalos)</w:t>
      </w:r>
    </w:p>
    <w:p>
      <w:r>
        <w:t>Con base en los hallazgos de la semana, se proponen los siguientes tickets:</w:t>
      </w:r>
    </w:p>
    <w:p>
      <w:r>
        <w:rPr>
          <w:b/>
        </w:rPr>
        <w:t xml:space="preserve">TKT-UTM-2026-08-10-01 [Urgente] — 172.17.74.17: </w:t>
      </w:r>
      <w:r>
        <w:t>Identificar el equipo y el usuario. Revisar por qué generó 1.32 TB, en su mayoría hacia IPs de Google sin dominio visible. Correlacionar con 329,640 bloqueos y con el score de reputación. Confirmar si es sincronización de fotos, backup o un cliente no corporativo.</w:t>
      </w:r>
    </w:p>
    <w:p>
      <w:r>
        <w:rPr>
          <w:b/>
        </w:rPr>
        <w:t xml:space="preserve">TKT-UTM-2026-08-10-02 [Alta] — Política Web Filter: </w:t>
      </w:r>
      <w:r>
        <w:t>Bloquear o restringir *.surfernetwork.com, *.virtualtronics.com y CDN de audio mdstrm. Equipos de la semana: 192.168.9.254, PBL-ADMISION02, AGC-FARMACIA01, PBL-HOSP04.</w:t>
      </w:r>
    </w:p>
    <w:p>
      <w:r>
        <w:rPr>
          <w:b/>
        </w:rPr>
        <w:t xml:space="preserve">TKT-UTM-2026-08-10-03 [Media] — Proxy / VPN: </w:t>
      </w:r>
      <w:r>
        <w:t>Hola.VPN registra 26.30 MB, junto con Proxy.HTTP, Cloudflare VPN y Ultrasurf. Reforzar Application Control de la categoría Proxy.</w:t>
      </w:r>
    </w:p>
    <w:p>
      <w:r>
        <w:rPr>
          <w:b/>
        </w:rPr>
        <w:t xml:space="preserve">TKT-UTM-2026-08-10-04 [Media] — Gambling y descargas: </w:t>
      </w:r>
      <w:r>
        <w:t>Revisar 32,984 bloqueos de Gambling y el volumen de Freeware/Shopping (Temu, Shein, Play Store). Mantener el bloqueo y avisar a las áreas con más intentos (AGC-CEXTERNA03, 172.17.71.22).</w:t>
      </w:r>
    </w:p>
    <w:p>
      <w:r>
        <w:rPr>
          <w:b/>
        </w:rPr>
        <w:t xml:space="preserve">TKT-UTM-2026-08-10-05 [Baja] — Remote Access: </w:t>
      </w:r>
      <w:r>
        <w:t>Validar AnyDesk (539.98 MB) y el residual de TeamViewer (1.54 MB) contra el inventario de soportes de sistemas.</w:t>
      </w:r>
    </w:p>
    <w:p>
      <w:r>
        <w:rPr>
          <w:b/>
        </w:rPr>
        <w:t>Nota de continuidad:</w:t>
      </w:r>
    </w:p>
    <w:p>
      <w:r>
        <w:t>En los PDF de este corte, 172.17.74.17 concentra 1.32 TB de tráfico web hacia IPs de Google (172.217.28.106 y 172.217.162.138) sin dominio de negocio visible, y además registra 329,640 bloqueos. 192.168.9.254 y PBL-ADMISION02 sostienen stream-289.surfernetwork.com durante 1,440 minutos. AGC-FARMACIA01 consume radio35.virtualtronics.com. Hola.VPN aparece con 26.30 MB. Pornography registra 2,075 bloqueos y Gambling 32,984. 172.17.74.17 y 192.168.9.254 no tienen hostname.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