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DEL 21 SEPTIEMBRE DEL 2026 HASTA EL 27 SEPTIEMBRE DEL 2026</w:t>
      </w:r>
    </w:p>
    <w:p>
      <w:r>
        <w:t>Primero hay que aclarar que la información de Destinos y Aplicaciones es muy general y que muchos sitios visitados por usuarios se encuentran encapsulados en protocolos y Aplicaciones que Fortinet no tiene clasificados. El tráfico total analizado por Application Control en este corte (lunes 21 de septiembre 00:00 a domingo 27 de septiembre 23:59 de 2026) fue de 2.68 TB.</w:t>
      </w:r>
    </w:p>
    <w:p>
      <w:r>
        <w:rPr>
          <w:b/>
        </w:rPr>
        <w:t>¿Cuáles fueron las aplicaciones de mayor consumo y por qué?</w:t>
      </w:r>
    </w:p>
    <w:p>
      <w:r>
        <w:t>Network Service lidera con 851.70 GB (31.01 %), sobre todo QUIC (293.68 GB) y el resto SSL/TLS. Collaboration suma 768.68 GB: WhatsApp 312.85 GB más su transferencia de archivos. General Interest es Google.Services (434.46 GB) dentro de 530.92 GB. Update aporta 226.78 GB, de los cuales Microsoft.Windows.Update son 185.46 GB. Facebook registra 52.52 GB y TikTok 52.44 GB. YouTube registra 54.27 GB, Netflix 8.47 GB y Spotify 4.84 GB. OpenAI.ChatGPT registra 13.17 GB. AnyDesk registra 670.04 MB y LogMeIn 222.76 MB.</w:t>
      </w:r>
    </w:p>
    <w:p>
      <w:r>
        <w:t>Remote Access muestra AnyDesk como herramienta principal y un residual de TeamViewer. Conviene confirmar que corresponda a soportes autorizados. La categoría Proxy de este corte incluye clientes de evasión, con el volumen indicado en los tickets.</w:t>
      </w:r>
    </w:p>
    <w:p>
      <w:r>
        <w:rPr>
          <w:b/>
        </w:rPr>
        <w:t>¿Cuáles fueron las categorías de mayor consumo y por qué?</w:t>
      </w:r>
    </w:p>
    <w:p>
      <w:r>
        <w:t>Por Application Control (ancho de banda):</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Categoría</w:t>
            </w:r>
          </w:p>
        </w:tc>
        <w:tc>
          <w:tcPr>
            <w:tcW w:type="dxa" w:w="2880"/>
          </w:tcPr>
          <w:p>
            <w:r>
              <w:t>Consumo</w:t>
            </w:r>
          </w:p>
        </w:tc>
        <w:tc>
          <w:tcPr>
            <w:tcW w:type="dxa" w:w="2880"/>
          </w:tcPr>
          <w:p>
            <w:r>
              <w:t>% aprox.</w:t>
            </w:r>
          </w:p>
        </w:tc>
      </w:tr>
      <w:tr>
        <w:tc>
          <w:tcPr>
            <w:tcW w:type="dxa" w:w="2880"/>
          </w:tcPr>
          <w:p>
            <w:r>
              <w:t>Network Service</w:t>
            </w:r>
          </w:p>
        </w:tc>
        <w:tc>
          <w:tcPr>
            <w:tcW w:type="dxa" w:w="2880"/>
          </w:tcPr>
          <w:p>
            <w:r>
              <w:t>851.70 GB</w:t>
            </w:r>
          </w:p>
        </w:tc>
        <w:tc>
          <w:tcPr>
            <w:tcW w:type="dxa" w:w="2880"/>
          </w:tcPr>
          <w:p>
            <w:r>
              <w:t>31.01 %</w:t>
            </w:r>
          </w:p>
        </w:tc>
      </w:tr>
      <w:tr>
        <w:tc>
          <w:tcPr>
            <w:tcW w:type="dxa" w:w="2880"/>
          </w:tcPr>
          <w:p>
            <w:r>
              <w:t>Collaboration</w:t>
            </w:r>
          </w:p>
        </w:tc>
        <w:tc>
          <w:tcPr>
            <w:tcW w:type="dxa" w:w="2880"/>
          </w:tcPr>
          <w:p>
            <w:r>
              <w:t>768.68 GB</w:t>
            </w:r>
          </w:p>
        </w:tc>
        <w:tc>
          <w:tcPr>
            <w:tcW w:type="dxa" w:w="2880"/>
          </w:tcPr>
          <w:p>
            <w:r>
              <w:t>27.99 %</w:t>
            </w:r>
          </w:p>
        </w:tc>
      </w:tr>
      <w:tr>
        <w:tc>
          <w:tcPr>
            <w:tcW w:type="dxa" w:w="2880"/>
          </w:tcPr>
          <w:p>
            <w:r>
              <w:t>General Interest</w:t>
            </w:r>
          </w:p>
        </w:tc>
        <w:tc>
          <w:tcPr>
            <w:tcW w:type="dxa" w:w="2880"/>
          </w:tcPr>
          <w:p>
            <w:r>
              <w:t>530.92 GB</w:t>
            </w:r>
          </w:p>
        </w:tc>
        <w:tc>
          <w:tcPr>
            <w:tcW w:type="dxa" w:w="2880"/>
          </w:tcPr>
          <w:p>
            <w:r>
              <w:t>19.33 %</w:t>
            </w:r>
          </w:p>
        </w:tc>
      </w:tr>
      <w:tr>
        <w:tc>
          <w:tcPr>
            <w:tcW w:type="dxa" w:w="2880"/>
          </w:tcPr>
          <w:p>
            <w:r>
              <w:t>Update</w:t>
            </w:r>
          </w:p>
        </w:tc>
        <w:tc>
          <w:tcPr>
            <w:tcW w:type="dxa" w:w="2880"/>
          </w:tcPr>
          <w:p>
            <w:r>
              <w:t>226.78 GB</w:t>
            </w:r>
          </w:p>
        </w:tc>
        <w:tc>
          <w:tcPr>
            <w:tcW w:type="dxa" w:w="2880"/>
          </w:tcPr>
          <w:p>
            <w:r>
              <w:t>8.26 %</w:t>
            </w:r>
          </w:p>
        </w:tc>
      </w:tr>
      <w:tr>
        <w:tc>
          <w:tcPr>
            <w:tcW w:type="dxa" w:w="2880"/>
          </w:tcPr>
          <w:p>
            <w:r>
              <w:t>Storage.Backup</w:t>
            </w:r>
          </w:p>
        </w:tc>
        <w:tc>
          <w:tcPr>
            <w:tcW w:type="dxa" w:w="2880"/>
          </w:tcPr>
          <w:p>
            <w:r>
              <w:t>55.84 GB</w:t>
            </w:r>
          </w:p>
        </w:tc>
        <w:tc>
          <w:tcPr>
            <w:tcW w:type="dxa" w:w="2880"/>
          </w:tcPr>
          <w:p>
            <w:r>
              <w:t>2.03 %</w:t>
            </w:r>
          </w:p>
        </w:tc>
      </w:tr>
      <w:tr>
        <w:tc>
          <w:tcPr>
            <w:tcW w:type="dxa" w:w="2880"/>
          </w:tcPr>
          <w:p>
            <w:r>
              <w:t>Desconocido / Other (resto)</w:t>
            </w:r>
          </w:p>
        </w:tc>
        <w:tc>
          <w:tcPr>
            <w:tcW w:type="dxa" w:w="2880"/>
          </w:tcPr>
          <w:p>
            <w:r>
              <w:t>312.46 GB</w:t>
            </w:r>
          </w:p>
        </w:tc>
        <w:tc>
          <w:tcPr>
            <w:tcW w:type="dxa" w:w="2880"/>
          </w:tcPr>
          <w:p>
            <w:r>
              <w:t>11.38 %</w:t>
            </w:r>
          </w:p>
        </w:tc>
      </w:tr>
    </w:tbl>
    <w:p/>
    <w:p>
      <w:r>
        <w:t>Network Service corresponde al tráfico cifrado (QUIC/SSL) que Fortinet no abre. General Interest es sobre todo Google. Collaboration es WhatsApp y Microsoft 365. Update son parches de Windows y Adobe. Storage Backup es OneDrive, iCloud y Google Drive. Desconocido / Other (resto) agrupa Unknown y las categorías menores de este corte (Social Media, Video/Audio, GenAI, Cloud, correo, VoIP y acceso remoto). Dentro de ese resto, la categoría Unknown de Fortinet es 50.74 GB (1.85 %).</w:t>
      </w:r>
    </w:p>
    <w:p>
      <w:r>
        <w:t>Por filtro web, las categorías de mayor ancho de banda fueron:</w:t>
      </w:r>
    </w:p>
    <w:p>
      <w:r>
        <w:t>1. Information Technology: 540.19 GB</w:t>
      </w:r>
    </w:p>
    <w:p>
      <w:r>
        <w:t>2. Instant Messaging: 422.94 GB</w:t>
      </w:r>
    </w:p>
    <w:p>
      <w:r>
        <w:t>3. Search Engines and Portals: 115.19 GB</w:t>
      </w:r>
    </w:p>
    <w:p>
      <w:r>
        <w:t>4. Streaming Media and Download: 111.55 GB</w:t>
      </w:r>
    </w:p>
    <w:p>
      <w:r>
        <w:t>5. File Sharing and Storage: 84.74 GB</w:t>
      </w:r>
    </w:p>
    <w:p>
      <w:r>
        <w:t>6. Web-based Applications: 70.85 GB</w:t>
      </w:r>
    </w:p>
    <w:p>
      <w:r>
        <w:rPr>
          <w:b/>
        </w:rPr>
        <w:t>¿Cuáles fueron los usuarios con mayor consumo y por qué?</w:t>
      </w:r>
    </w:p>
    <w:p>
      <w:r>
        <w:t>ADM-SUMINISP07 (192.168.2.49) encabeza el consumo web con 41.99 GB. 192.168.2.33 consume 38.21 GB y 192.168.2.62 consume 27.31 GB. 192.168.55.78 consume 23.65 GB y ADM-RECEP03 consume 22.45 GB. En reputación encabezan 172.17.23.2, SOPORTE y 2001:67c:254:b0b0::abba, sin hostname de usuario. COM-URG16 y AGC-PYP02 también figuran en el listado de reputación de este corte.</w:t>
      </w:r>
    </w:p>
    <w:p>
      <w:r>
        <w:t>Top de ancho de banda web:</w:t>
      </w:r>
    </w:p>
    <w:p>
      <w:r>
        <w:t>1. ADM-SUMINISP07 (192.168.2.49) — 41.99 GB</w:t>
      </w:r>
    </w:p>
    <w:p>
      <w:r>
        <w:t>2. 192.168.2.33 — 38.21 GB</w:t>
      </w:r>
    </w:p>
    <w:p>
      <w:r>
        <w:t>3. 192.168.2.62 — 27.31 GB</w:t>
      </w:r>
    </w:p>
    <w:p>
      <w:r>
        <w:t>4. 192.168.55.78 — 23.65 GB</w:t>
      </w:r>
    </w:p>
    <w:p>
      <w:r>
        <w:t>5. ADM-RECEP03 — 22.45 GB</w:t>
      </w:r>
    </w:p>
    <w:p>
      <w:r>
        <w:rPr>
          <w:b/>
        </w:rPr>
        <w:t>¿Cuáles fueron los destinos con mayor consumo, a cuál empresa o dominio apuntan y por qué?, Bloquear los que no sean de uso corporativo (videos, radio, etc.)</w:t>
      </w:r>
    </w:p>
    <w:p>
      <w:r>
        <w:t>El mayor destino es el CDN de WhatsApp, de Meta: media-bog2-1.cdn.whatsapp.net 192.50 GB, media-bog2-2.cdn.whatsapp.net 139.49 GB y static.whatsapp.net 64.63 GB. Siguen subidas a Google Cloud Storage (gcs-us-00003.content-storage-upload.googleapis.com, 48.33 GB), actualizaciones de Microsoft (1d.tlu.dl.delivery.mp.microsoft.com 38.94 GB y tlu.dl.delivery.mp.microsoft.com 33.66 GB), web.whatsapp.com (25.73 GB), mail.google.com (24.74 GB) y docs.google.com (21.99 GB). Uso institucional: imagenes-neps-prod.s3 (18.03 GB) e imsalud.opecolombia.com (17.02 GB). chatgpt.com suma 14.90 GB.</w:t>
      </w:r>
    </w:p>
    <w:p>
      <w:r>
        <w:t>El 25 de septiembre LIB-FARMA01 sostuvo stream-289.surfernetwork.com durante 636 minutos (1.47 GB). El 26 de septiembre LOM-URG11 sostuvo radio30.virtualtronics.com durante 1,254 minutos (1.18 GB) y LOM-FARMA02 sostuvo la misma radio durante 1,046 minutos (cerca de 1,005 MB). El 21 de septiembre COM-FARMA02 consumió radio.policia.gov.co durante 1,253 minutos (1.17 GB) y LOM-FARMA02 consumió stream-280.surfernetwork.com (615.75 MB). El 24 de septiembre 192.168.2.43 subió 282.33 MB a upload.youtube.com y consumió TikTok. Esas radios quedan clasificadas como Information Technology, por eso no caen en Internet Radio and TV.</w:t>
      </w:r>
    </w:p>
    <w:p>
      <w:r>
        <w:t>Como se puede apreciar Fortinet no es preciso en cuanto a los destinos en Application Control, ya que mucho tráfico queda en SSL/QUIC/Unknown. En los reportes web sí hay nombre de dominio, pero varias CDN no permiten ver el servicio de negocio final.</w:t>
      </w:r>
    </w:p>
    <w:p>
      <w:r>
        <w:rPr>
          <w:b/>
        </w:rPr>
        <w:t>Recomendación de bloqueo / ajuste de políticas (no corporativo):</w:t>
      </w:r>
    </w:p>
    <w:p>
      <w:r>
        <w:t>Radios y streaming no institucionales: *.virtualtronics.com, *.surfernetwork.com y CDN de audio mdstrm.</w:t>
      </w:r>
    </w:p>
    <w:p>
      <w:r>
        <w:t>Video y redes recreativas: YouTube (incluida la subida upload.youtube.com), Netflix, Spotify, TikTok y Facebook, salvo excepción autorizada.</w:t>
      </w:r>
    </w:p>
    <w:p>
      <w:r>
        <w:t>Proxy y VPN de evasión: Cloudflare 1.1.1.1 VPN, Proxy.HTTP, WireGuard, Psiphon, Hola.VPN y Ultrasurf.</w:t>
      </w:r>
    </w:p>
    <w:p>
      <w:r>
        <w:t>Mantener el bloqueo de Freeware no corporativo, Shopping, Games y materiales para adultos.</w:t>
      </w:r>
    </w:p>
    <w:p>
      <w:r>
        <w:rPr>
          <w:b/>
        </w:rPr>
        <w:t>¿Qué se observa en la sección de uso web?</w:t>
      </w:r>
    </w:p>
    <w:p>
      <w:r>
        <w:t>El ancho de banda web lo encabezan Information Technology (540.19 GB) e Instant Messaging (422.94 GB). Streaming Media and Download suma 111.55 GB y File Sharing and Storage 84.74 GB. La categoría más bloqueada es Freeware and Software Downloads, con 2,173,480 solicitudes. Siguen Streaming (222,671), Shopping (191,274), Advertising (141,235) y Games (139,496). Proxy Avoidance registra 27,118 solicitudes. El equipo con más bloqueos es 172.16.211.11 (175,178), seguido de 172.17.71.39 (75,497) y 172.17.71.25 (65,488).</w:t>
      </w:r>
    </w:p>
    <w:p>
      <w:r>
        <w:t>Categorías más bloqueadas:</w:t>
      </w:r>
    </w:p>
    <w:p>
      <w:r>
        <w:t>1. Freeware and Software Downloads: 2,173,480 solicitudes</w:t>
      </w:r>
    </w:p>
    <w:p>
      <w:r>
        <w:t>2. Streaming Media and Download: 222,671 solicitudes</w:t>
      </w:r>
    </w:p>
    <w:p>
      <w:r>
        <w:t>3. Shopping: 191,274 solicitudes</w:t>
      </w:r>
    </w:p>
    <w:p>
      <w:r>
        <w:t>4. Advertising: 141,235 solicitudes</w:t>
      </w:r>
    </w:p>
    <w:p>
      <w:r>
        <w:t>5. Games: 139,496 solicitudes</w:t>
      </w:r>
    </w:p>
    <w:p>
      <w:r>
        <w:t>6. Proxy Avoidance: 27,118 solicitudes</w:t>
      </w:r>
    </w:p>
    <w:p>
      <w:r>
        <w:t>Usuarios con más bloqueos:</w:t>
      </w:r>
    </w:p>
    <w:p>
      <w:r>
        <w:t>1. 172.16.211.11 — 175,178</w:t>
      </w:r>
    </w:p>
    <w:p>
      <w:r>
        <w:t>2. 172.17.71.39 — 75,497</w:t>
      </w:r>
    </w:p>
    <w:p>
      <w:r>
        <w:t>3. 172.17.71.25 — 65,488</w:t>
      </w:r>
    </w:p>
    <w:p>
      <w:r>
        <w:rPr>
          <w:b/>
        </w:rPr>
        <w:t>Tickets de revisión / ajuste de políticas (comportamientos anómalos)</w:t>
      </w:r>
    </w:p>
    <w:p>
      <w:r>
        <w:t>Con base en los hallazgos de este corte, se proponen los siguientes tickets:</w:t>
      </w:r>
    </w:p>
    <w:p>
      <w:r>
        <w:rPr>
          <w:b/>
        </w:rPr>
        <w:t xml:space="preserve">TKT-UTM-2026-09-21-01 [Alta] — Radios de turno: </w:t>
      </w:r>
      <w:r>
        <w:t>Revisar LIB-FARMA01, LOM-URG11, LOM-FARMA02 y COM-FARMA02 por sesiones de varias horas hacia surfernetwork.com, radio30.virtualtronics.com y radio.policia.gov.co. Bloquear los dominios que no sean de uso corporativo.</w:t>
      </w:r>
    </w:p>
    <w:p>
      <w:r>
        <w:rPr>
          <w:b/>
        </w:rPr>
        <w:t xml:space="preserve">TKT-UTM-2026-09-21-02 [Alta] — 192.168.2.43: </w:t>
      </w:r>
      <w:r>
        <w:t>Subida de 282.33 MB a upload.youtube.com el 24 de septiembre, junto con consumo de TikTok. Confirmar si el video es institucional.</w:t>
      </w:r>
    </w:p>
    <w:p>
      <w:r>
        <w:rPr>
          <w:b/>
        </w:rPr>
        <w:t xml:space="preserve">TKT-UTM-2026-09-21-03 [Media] — 172.16.211.11: </w:t>
      </w:r>
      <w:r>
        <w:t>Equipo con 175,178 solicitudes bloqueadas. Identificar hostname y el motivo de los intentos.</w:t>
      </w:r>
    </w:p>
    <w:p>
      <w:r>
        <w:rPr>
          <w:b/>
        </w:rPr>
        <w:t xml:space="preserve">TKT-UTM-2026-09-21-04 [Media] — TikTok y YouTube: </w:t>
      </w:r>
      <w:r>
        <w:t>TikTok registra 52.44 GB y YouTube 54.27 GB. Aplicar cuota o bloqueo en horario laboral, salvo excepción autorizada.</w:t>
      </w:r>
    </w:p>
    <w:p>
      <w:r>
        <w:rPr>
          <w:b/>
        </w:rPr>
        <w:t xml:space="preserve">TKT-UTM-2026-09-21-05 [Baja] — AnyDesk: </w:t>
      </w:r>
      <w:r>
        <w:t>Confirmar que los 670.04 MB de AnyDesk y los 222.76 MB de LogMeIn corresponden a soporte autorizado.</w:t>
      </w:r>
    </w:p>
    <w:p>
      <w:r>
        <w:rPr>
          <w:b/>
        </w:rPr>
        <w:t>Nota de continuidad:</w:t>
      </w:r>
    </w:p>
    <w:p>
      <w:r>
        <w:t>En los PDF de este corte, Unknown suma 50.74 GB (1.85 %), sobre todo udp/443 (19.20 GB) y HTTPS sin clasificar. ADM-SUMINISP07 (192.168.2.49) lidera el consumo web con 41.99 GB. LIB-FARMA01, LOM-URG11, LOM-FARMA02 y COM-FARMA02 sostienen radios o streaming durante muchas horas. 192.168.2.43 sube contenido a upload.youtube.com. AnyDesk registra 670.04 MB. Proxy.HTTP registra 11.33 MB y WireGuard aparece con volumen bajo. 172.17.23.2, SOPORTE y 172.16.211.11 no tienen hostname de usuario.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