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8BF57" w14:textId="77777777" w:rsidR="00F017B4" w:rsidRPr="00602A02" w:rsidRDefault="00F017B4" w:rsidP="00326085">
      <w:pPr>
        <w:spacing w:after="0" w:line="240" w:lineRule="auto"/>
        <w:jc w:val="center"/>
        <w:rPr>
          <w:rFonts w:ascii="Times New Roman" w:eastAsia="Calibri" w:hAnsi="Times New Roman" w:cs="Times New Roman"/>
          <w:b/>
          <w:sz w:val="24"/>
          <w:szCs w:val="24"/>
          <w:lang w:val="en-ZA" w:eastAsia="en-ZA"/>
        </w:rPr>
      </w:pPr>
    </w:p>
    <w:p w14:paraId="2101544F" w14:textId="77777777" w:rsidR="00326085" w:rsidRPr="00602A02" w:rsidRDefault="00326085" w:rsidP="00326085">
      <w:pPr>
        <w:spacing w:after="0" w:line="240" w:lineRule="auto"/>
        <w:jc w:val="center"/>
        <w:rPr>
          <w:rFonts w:ascii="Times New Roman" w:eastAsia="Calibri" w:hAnsi="Times New Roman" w:cs="Times New Roman"/>
          <w:b/>
          <w:sz w:val="24"/>
          <w:szCs w:val="24"/>
          <w:lang w:val="en-ZA" w:eastAsia="en-ZA"/>
        </w:rPr>
      </w:pPr>
    </w:p>
    <w:p w14:paraId="4B0C1D29" w14:textId="0C0FA1A4" w:rsidR="00326085" w:rsidRDefault="007276F2" w:rsidP="00326085">
      <w:pPr>
        <w:spacing w:after="0" w:line="240" w:lineRule="auto"/>
        <w:jc w:val="center"/>
        <w:rPr>
          <w:rFonts w:ascii="Times New Roman" w:eastAsia="Times New Roman" w:hAnsi="Times New Roman" w:cs="Times New Roman"/>
          <w:b/>
          <w:bCs/>
          <w:color w:val="333333"/>
          <w:sz w:val="24"/>
          <w:szCs w:val="24"/>
          <w:bdr w:val="none" w:sz="0" w:space="0" w:color="auto" w:frame="1"/>
        </w:rPr>
      </w:pPr>
      <w:r>
        <w:rPr>
          <w:rFonts w:ascii="Times New Roman" w:eastAsia="Times New Roman" w:hAnsi="Times New Roman" w:cs="Times New Roman"/>
          <w:b/>
          <w:bCs/>
          <w:color w:val="333333"/>
          <w:sz w:val="24"/>
          <w:szCs w:val="24"/>
          <w:bdr w:val="none" w:sz="0" w:space="0" w:color="auto" w:frame="1"/>
        </w:rPr>
        <w:t>Foreign Direct Investment and Poverty Reduction</w:t>
      </w:r>
    </w:p>
    <w:p w14:paraId="4EB8D044" w14:textId="77777777" w:rsidR="007276F2" w:rsidRPr="00602A02" w:rsidRDefault="007276F2" w:rsidP="00326085">
      <w:pPr>
        <w:spacing w:after="0" w:line="240" w:lineRule="auto"/>
        <w:jc w:val="center"/>
        <w:rPr>
          <w:rFonts w:ascii="Times New Roman" w:eastAsia="Calibri" w:hAnsi="Times New Roman" w:cs="Times New Roman"/>
          <w:b/>
          <w:sz w:val="24"/>
          <w:szCs w:val="24"/>
          <w:lang w:val="en-ZA" w:eastAsia="en-ZA"/>
        </w:rPr>
      </w:pPr>
    </w:p>
    <w:p w14:paraId="2AC78C28" w14:textId="77777777" w:rsidR="00326085" w:rsidRPr="00602A02" w:rsidRDefault="00326085" w:rsidP="00326085">
      <w:pPr>
        <w:spacing w:after="0" w:line="240" w:lineRule="auto"/>
        <w:jc w:val="center"/>
        <w:rPr>
          <w:rFonts w:ascii="Times New Roman" w:eastAsia="Calibri" w:hAnsi="Times New Roman" w:cs="Times New Roman"/>
          <w:b/>
          <w:sz w:val="24"/>
          <w:szCs w:val="24"/>
          <w:lang w:val="en-ZA" w:eastAsia="en-ZA"/>
        </w:rPr>
      </w:pPr>
    </w:p>
    <w:p w14:paraId="4458A157" w14:textId="77777777" w:rsidR="00326085" w:rsidRPr="00602A02" w:rsidRDefault="00326085" w:rsidP="00326085">
      <w:pPr>
        <w:spacing w:after="0" w:line="240" w:lineRule="auto"/>
        <w:jc w:val="center"/>
        <w:rPr>
          <w:rFonts w:ascii="Times New Roman" w:eastAsia="Calibri" w:hAnsi="Times New Roman" w:cs="Times New Roman"/>
          <w:sz w:val="24"/>
          <w:szCs w:val="24"/>
          <w:lang w:val="en-ZA" w:eastAsia="en-ZA"/>
        </w:rPr>
      </w:pPr>
      <w:r w:rsidRPr="00602A02">
        <w:rPr>
          <w:rFonts w:ascii="Times New Roman" w:eastAsia="Calibri" w:hAnsi="Times New Roman" w:cs="Times New Roman"/>
          <w:sz w:val="24"/>
          <w:szCs w:val="24"/>
          <w:lang w:val="en-ZA" w:eastAsia="en-ZA"/>
        </w:rPr>
        <w:t>Michael W Nicholson</w:t>
      </w:r>
    </w:p>
    <w:p w14:paraId="17325309" w14:textId="77777777" w:rsidR="00326085" w:rsidRPr="00602A02" w:rsidRDefault="008F6020" w:rsidP="00326085">
      <w:pPr>
        <w:spacing w:after="0" w:line="240" w:lineRule="auto"/>
        <w:jc w:val="center"/>
        <w:rPr>
          <w:rFonts w:ascii="Times New Roman" w:hAnsi="Times New Roman" w:cs="Times New Roman"/>
          <w:sz w:val="24"/>
          <w:szCs w:val="24"/>
        </w:rPr>
      </w:pPr>
      <w:hyperlink r:id="rId8" w:history="1">
        <w:r w:rsidR="00D630FD" w:rsidRPr="00602A02">
          <w:rPr>
            <w:rStyle w:val="Hyperlink"/>
            <w:rFonts w:ascii="Times New Roman" w:hAnsi="Times New Roman" w:cs="Times New Roman"/>
            <w:sz w:val="24"/>
            <w:szCs w:val="24"/>
          </w:rPr>
          <w:t>mnicholson@usaid.gov</w:t>
        </w:r>
      </w:hyperlink>
    </w:p>
    <w:p w14:paraId="00A83E3D" w14:textId="77777777" w:rsidR="00326085" w:rsidRPr="00602A02" w:rsidRDefault="00326085" w:rsidP="00326085">
      <w:pPr>
        <w:spacing w:after="0" w:line="240" w:lineRule="auto"/>
        <w:jc w:val="center"/>
        <w:rPr>
          <w:rFonts w:ascii="Times New Roman" w:eastAsia="Calibri" w:hAnsi="Times New Roman" w:cs="Times New Roman"/>
          <w:sz w:val="24"/>
          <w:szCs w:val="24"/>
          <w:lang w:val="en-ZA" w:eastAsia="en-ZA"/>
        </w:rPr>
      </w:pPr>
      <w:r w:rsidRPr="00602A02">
        <w:rPr>
          <w:rFonts w:ascii="Times New Roman" w:eastAsia="Calibri" w:hAnsi="Times New Roman" w:cs="Times New Roman"/>
          <w:sz w:val="24"/>
          <w:szCs w:val="24"/>
          <w:lang w:val="en-ZA" w:eastAsia="en-ZA"/>
        </w:rPr>
        <w:t>Office of Economic Growth and Integration</w:t>
      </w:r>
    </w:p>
    <w:p w14:paraId="516865F4" w14:textId="77777777" w:rsidR="00326085" w:rsidRPr="00602A02" w:rsidRDefault="00326085" w:rsidP="00326085">
      <w:pPr>
        <w:spacing w:after="0" w:line="240" w:lineRule="auto"/>
        <w:jc w:val="center"/>
        <w:rPr>
          <w:rFonts w:ascii="Times New Roman" w:eastAsia="Calibri" w:hAnsi="Times New Roman" w:cs="Times New Roman"/>
          <w:sz w:val="24"/>
          <w:szCs w:val="24"/>
          <w:lang w:val="en-ZA" w:eastAsia="en-ZA"/>
        </w:rPr>
      </w:pPr>
      <w:r w:rsidRPr="00602A02">
        <w:rPr>
          <w:rFonts w:ascii="Times New Roman" w:eastAsia="Calibri" w:hAnsi="Times New Roman" w:cs="Times New Roman"/>
          <w:sz w:val="24"/>
          <w:szCs w:val="24"/>
          <w:lang w:val="en-ZA" w:eastAsia="en-ZA"/>
        </w:rPr>
        <w:t>U.S. Agency for International Development</w:t>
      </w:r>
      <w:r w:rsidRPr="00602A02">
        <w:rPr>
          <w:rStyle w:val="FootnoteReference"/>
          <w:rFonts w:ascii="Times New Roman" w:eastAsia="Calibri" w:hAnsi="Times New Roman" w:cs="Times New Roman"/>
          <w:sz w:val="24"/>
          <w:szCs w:val="24"/>
          <w:lang w:val="en-ZA" w:eastAsia="en-ZA"/>
        </w:rPr>
        <w:footnoteReference w:id="1"/>
      </w:r>
    </w:p>
    <w:p w14:paraId="2D1C1989" w14:textId="77777777" w:rsidR="00326085" w:rsidRPr="00602A02" w:rsidRDefault="00326085" w:rsidP="00326085">
      <w:pPr>
        <w:spacing w:after="0" w:line="240" w:lineRule="auto"/>
        <w:jc w:val="center"/>
        <w:rPr>
          <w:rFonts w:ascii="Times New Roman" w:eastAsia="Calibri" w:hAnsi="Times New Roman" w:cs="Times New Roman"/>
          <w:sz w:val="24"/>
          <w:szCs w:val="24"/>
          <w:lang w:val="en-ZA" w:eastAsia="en-ZA"/>
        </w:rPr>
      </w:pPr>
      <w:r w:rsidRPr="00602A02">
        <w:rPr>
          <w:rFonts w:ascii="Times New Roman" w:eastAsia="Calibri" w:hAnsi="Times New Roman" w:cs="Times New Roman"/>
          <w:sz w:val="24"/>
          <w:szCs w:val="24"/>
          <w:lang w:val="en-ZA" w:eastAsia="en-ZA"/>
        </w:rPr>
        <w:t xml:space="preserve">Nairobi, Kenya </w:t>
      </w:r>
    </w:p>
    <w:p w14:paraId="2A0C5E2F" w14:textId="231AA9AE" w:rsidR="00326085" w:rsidRDefault="00326085" w:rsidP="00326085">
      <w:pPr>
        <w:spacing w:after="0" w:line="240" w:lineRule="auto"/>
        <w:rPr>
          <w:rFonts w:ascii="Times New Roman" w:eastAsia="Calibri" w:hAnsi="Times New Roman" w:cs="Times New Roman"/>
          <w:b/>
          <w:sz w:val="24"/>
          <w:szCs w:val="24"/>
          <w:lang w:val="en-ZA" w:eastAsia="en-ZA"/>
        </w:rPr>
      </w:pPr>
    </w:p>
    <w:p w14:paraId="50EC3E0B" w14:textId="121510ED" w:rsidR="007276F2" w:rsidRDefault="007276F2" w:rsidP="00326085">
      <w:pPr>
        <w:spacing w:after="0" w:line="240" w:lineRule="auto"/>
        <w:rPr>
          <w:rFonts w:ascii="Times New Roman" w:eastAsia="Calibri" w:hAnsi="Times New Roman" w:cs="Times New Roman"/>
          <w:b/>
          <w:sz w:val="24"/>
          <w:szCs w:val="24"/>
          <w:lang w:val="en-ZA" w:eastAsia="en-ZA"/>
        </w:rPr>
      </w:pPr>
    </w:p>
    <w:p w14:paraId="4D372146" w14:textId="67F75E26" w:rsidR="007276F2" w:rsidRDefault="007276F2" w:rsidP="007276F2">
      <w:pPr>
        <w:spacing w:after="0" w:line="240" w:lineRule="auto"/>
        <w:jc w:val="center"/>
        <w:rPr>
          <w:rFonts w:ascii="Times New Roman" w:eastAsia="Calibri" w:hAnsi="Times New Roman" w:cs="Times New Roman"/>
          <w:bCs/>
          <w:sz w:val="24"/>
          <w:szCs w:val="24"/>
          <w:lang w:val="en-ZA" w:eastAsia="en-ZA"/>
        </w:rPr>
      </w:pPr>
      <w:r>
        <w:rPr>
          <w:rFonts w:ascii="Times New Roman" w:eastAsia="Calibri" w:hAnsi="Times New Roman" w:cs="Times New Roman"/>
          <w:bCs/>
          <w:sz w:val="24"/>
          <w:szCs w:val="24"/>
          <w:lang w:val="en-ZA" w:eastAsia="en-ZA"/>
        </w:rPr>
        <w:t xml:space="preserve">David O. </w:t>
      </w:r>
      <w:proofErr w:type="spellStart"/>
      <w:r>
        <w:rPr>
          <w:rFonts w:ascii="Times New Roman" w:eastAsia="Calibri" w:hAnsi="Times New Roman" w:cs="Times New Roman"/>
          <w:bCs/>
          <w:sz w:val="24"/>
          <w:szCs w:val="24"/>
          <w:lang w:val="en-ZA" w:eastAsia="en-ZA"/>
        </w:rPr>
        <w:t>Kritzberg</w:t>
      </w:r>
      <w:proofErr w:type="spellEnd"/>
    </w:p>
    <w:p w14:paraId="17E3BEFC" w14:textId="51838EEE" w:rsidR="007276F2" w:rsidRDefault="008F6020" w:rsidP="007276F2">
      <w:pPr>
        <w:spacing w:after="0" w:line="240" w:lineRule="auto"/>
        <w:jc w:val="center"/>
        <w:rPr>
          <w:rFonts w:ascii="Times New Roman" w:eastAsia="Calibri" w:hAnsi="Times New Roman" w:cs="Times New Roman"/>
          <w:bCs/>
          <w:sz w:val="24"/>
          <w:szCs w:val="24"/>
          <w:lang w:val="en-ZA" w:eastAsia="en-ZA"/>
        </w:rPr>
      </w:pPr>
      <w:hyperlink r:id="rId9" w:history="1">
        <w:r w:rsidR="007276F2" w:rsidRPr="00383952">
          <w:rPr>
            <w:rStyle w:val="Hyperlink"/>
            <w:rFonts w:ascii="Times New Roman" w:eastAsia="Calibri" w:hAnsi="Times New Roman" w:cs="Times New Roman"/>
            <w:bCs/>
            <w:sz w:val="24"/>
            <w:szCs w:val="24"/>
            <w:lang w:val="en-ZA" w:eastAsia="en-ZA"/>
          </w:rPr>
          <w:t>Dave.Kritzberg@gmail.com</w:t>
        </w:r>
      </w:hyperlink>
    </w:p>
    <w:p w14:paraId="5FB6E33C" w14:textId="6547A96A" w:rsidR="007276F2" w:rsidRDefault="007276F2" w:rsidP="007276F2">
      <w:pPr>
        <w:spacing w:after="0" w:line="240" w:lineRule="auto"/>
        <w:jc w:val="center"/>
        <w:rPr>
          <w:rFonts w:ascii="Times New Roman" w:eastAsia="Calibri" w:hAnsi="Times New Roman" w:cs="Times New Roman"/>
          <w:bCs/>
          <w:sz w:val="24"/>
          <w:szCs w:val="24"/>
          <w:lang w:val="en-ZA" w:eastAsia="en-ZA"/>
        </w:rPr>
      </w:pPr>
      <w:r>
        <w:rPr>
          <w:rFonts w:ascii="Times New Roman" w:eastAsia="Calibri" w:hAnsi="Times New Roman" w:cs="Times New Roman"/>
          <w:bCs/>
          <w:sz w:val="24"/>
          <w:szCs w:val="24"/>
          <w:lang w:val="en-ZA" w:eastAsia="en-ZA"/>
        </w:rPr>
        <w:t>Emeryville, California</w:t>
      </w:r>
    </w:p>
    <w:p w14:paraId="440BAFA4" w14:textId="77777777" w:rsidR="007276F2" w:rsidRPr="007276F2" w:rsidRDefault="007276F2" w:rsidP="007276F2">
      <w:pPr>
        <w:spacing w:after="0" w:line="240" w:lineRule="auto"/>
        <w:jc w:val="center"/>
        <w:rPr>
          <w:rFonts w:ascii="Times New Roman" w:eastAsia="Calibri" w:hAnsi="Times New Roman" w:cs="Times New Roman"/>
          <w:bCs/>
          <w:sz w:val="24"/>
          <w:szCs w:val="24"/>
          <w:lang w:val="en-ZA" w:eastAsia="en-ZA"/>
        </w:rPr>
      </w:pPr>
    </w:p>
    <w:p w14:paraId="3785FA81" w14:textId="303C3223" w:rsidR="00326085" w:rsidRPr="00602A02" w:rsidRDefault="007276F2" w:rsidP="00326085">
      <w:pPr>
        <w:spacing w:after="0" w:line="240" w:lineRule="auto"/>
        <w:jc w:val="center"/>
        <w:rPr>
          <w:rFonts w:ascii="Times New Roman" w:eastAsia="Calibri" w:hAnsi="Times New Roman" w:cs="Times New Roman"/>
          <w:sz w:val="24"/>
          <w:szCs w:val="24"/>
          <w:lang w:val="en-ZA" w:eastAsia="en-ZA"/>
        </w:rPr>
      </w:pPr>
      <w:r>
        <w:rPr>
          <w:rFonts w:ascii="Times New Roman" w:eastAsia="Calibri" w:hAnsi="Times New Roman" w:cs="Times New Roman"/>
          <w:sz w:val="24"/>
          <w:szCs w:val="24"/>
          <w:lang w:val="en-ZA" w:eastAsia="en-ZA"/>
        </w:rPr>
        <w:t xml:space="preserve">December </w:t>
      </w:r>
      <w:r w:rsidR="00831680">
        <w:rPr>
          <w:rFonts w:ascii="Times New Roman" w:eastAsia="Calibri" w:hAnsi="Times New Roman" w:cs="Times New Roman"/>
          <w:sz w:val="24"/>
          <w:szCs w:val="24"/>
          <w:lang w:val="en-ZA" w:eastAsia="en-ZA"/>
        </w:rPr>
        <w:t>7</w:t>
      </w:r>
      <w:r w:rsidR="00793166">
        <w:rPr>
          <w:rFonts w:ascii="Times New Roman" w:eastAsia="Calibri" w:hAnsi="Times New Roman" w:cs="Times New Roman"/>
          <w:sz w:val="24"/>
          <w:szCs w:val="24"/>
          <w:lang w:val="en-ZA" w:eastAsia="en-ZA"/>
        </w:rPr>
        <w:t>, 2019</w:t>
      </w:r>
    </w:p>
    <w:p w14:paraId="29E80101" w14:textId="77777777" w:rsidR="00326085" w:rsidRPr="00602A02" w:rsidRDefault="00326085" w:rsidP="00326085">
      <w:pPr>
        <w:spacing w:after="0" w:line="240" w:lineRule="auto"/>
        <w:rPr>
          <w:rFonts w:ascii="Times New Roman" w:eastAsia="Calibri" w:hAnsi="Times New Roman" w:cs="Times New Roman"/>
          <w:b/>
          <w:sz w:val="24"/>
          <w:szCs w:val="24"/>
          <w:lang w:val="en-ZA" w:eastAsia="en-ZA"/>
        </w:rPr>
      </w:pPr>
    </w:p>
    <w:p w14:paraId="447B4A8C" w14:textId="77777777" w:rsidR="00326085" w:rsidRPr="00602A02" w:rsidRDefault="00326085" w:rsidP="00326085">
      <w:pPr>
        <w:spacing w:after="0" w:line="240" w:lineRule="auto"/>
        <w:rPr>
          <w:rFonts w:ascii="Times New Roman" w:eastAsia="Calibri" w:hAnsi="Times New Roman" w:cs="Times New Roman"/>
          <w:b/>
          <w:sz w:val="24"/>
          <w:szCs w:val="24"/>
          <w:lang w:val="en-ZA" w:eastAsia="en-ZA"/>
        </w:rPr>
      </w:pPr>
    </w:p>
    <w:p w14:paraId="79CF1FEC" w14:textId="77777777" w:rsidR="00326085" w:rsidRPr="00602A02" w:rsidRDefault="00326085" w:rsidP="00B21F3D">
      <w:pPr>
        <w:spacing w:after="0" w:line="240" w:lineRule="auto"/>
        <w:jc w:val="center"/>
        <w:rPr>
          <w:rFonts w:ascii="Times New Roman" w:eastAsia="Calibri" w:hAnsi="Times New Roman" w:cs="Times New Roman"/>
          <w:b/>
          <w:sz w:val="24"/>
          <w:szCs w:val="24"/>
          <w:lang w:val="en-ZA" w:eastAsia="en-ZA"/>
        </w:rPr>
      </w:pPr>
      <w:r w:rsidRPr="00602A02">
        <w:rPr>
          <w:rFonts w:ascii="Times New Roman" w:eastAsia="Calibri" w:hAnsi="Times New Roman" w:cs="Times New Roman"/>
          <w:b/>
          <w:sz w:val="24"/>
          <w:szCs w:val="24"/>
          <w:lang w:val="en-ZA" w:eastAsia="en-ZA"/>
        </w:rPr>
        <w:t>ABSTRACT</w:t>
      </w:r>
    </w:p>
    <w:p w14:paraId="1A08AB21" w14:textId="77777777" w:rsidR="00B21F3D" w:rsidRDefault="00B21F3D" w:rsidP="00D630FD">
      <w:pPr>
        <w:ind w:firstLine="720"/>
        <w:jc w:val="both"/>
        <w:rPr>
          <w:rFonts w:ascii="Times New Roman" w:hAnsi="Times New Roman" w:cs="Times New Roman"/>
          <w:sz w:val="24"/>
          <w:szCs w:val="24"/>
        </w:rPr>
      </w:pPr>
    </w:p>
    <w:p w14:paraId="51055221" w14:textId="2A0F12CE" w:rsidR="007276F2" w:rsidRPr="007276F2" w:rsidRDefault="00831680" w:rsidP="00326085">
      <w:pPr>
        <w:spacing w:before="100" w:beforeAutospacing="1" w:after="100" w:afterAutospacing="1" w:line="240" w:lineRule="auto"/>
        <w:jc w:val="both"/>
        <w:rPr>
          <w:rFonts w:ascii="Times New Roman" w:hAnsi="Times New Roman" w:cs="Times New Roman"/>
          <w:i/>
          <w:iCs/>
          <w:sz w:val="24"/>
          <w:szCs w:val="24"/>
        </w:rPr>
      </w:pPr>
      <w:r>
        <w:rPr>
          <w:rFonts w:ascii="Times New Roman" w:hAnsi="Times New Roman" w:cs="Times New Roman"/>
          <w:i/>
          <w:iCs/>
          <w:sz w:val="24"/>
          <w:szCs w:val="24"/>
        </w:rPr>
        <w:t>This paper investigates the extent to which two-way trade and investment between the United States and Africa meet the Sustainable Development Goal. The US government announced the “Prosper Africa” initiative in June 2018 to advance mutually beneficial trade and commercial ties between the United States and countries across the African continent, with the bold goal to double trade and investment. Despite the debate about the extent trade openness benefits poor people in developing countries, the literature has been slow to address the impact of Foreign Direct Investment (FDI) and associated changes in relative factor prices. Using a panel of trade, investment, and poverty data, this paper will identify the extent to which FDI flows from the United States to Africa, as well as the reverse, impact key SDG targets.</w:t>
      </w:r>
    </w:p>
    <w:p w14:paraId="78528E6E" w14:textId="122EFD7D" w:rsidR="007276F2" w:rsidRDefault="007276F2" w:rsidP="00326085">
      <w:pPr>
        <w:spacing w:before="100" w:beforeAutospacing="1" w:after="100" w:afterAutospacing="1" w:line="240" w:lineRule="auto"/>
        <w:jc w:val="both"/>
        <w:rPr>
          <w:rFonts w:ascii="Times New Roman" w:hAnsi="Times New Roman" w:cs="Times New Roman"/>
          <w:sz w:val="24"/>
          <w:szCs w:val="24"/>
        </w:rPr>
      </w:pPr>
    </w:p>
    <w:p w14:paraId="2FBF61A1" w14:textId="5C112053" w:rsidR="007276F2" w:rsidRDefault="007276F2" w:rsidP="00326085">
      <w:pPr>
        <w:spacing w:before="100" w:beforeAutospacing="1" w:after="100" w:afterAutospacing="1" w:line="240" w:lineRule="auto"/>
        <w:jc w:val="both"/>
        <w:rPr>
          <w:rFonts w:ascii="Times New Roman" w:hAnsi="Times New Roman" w:cs="Times New Roman"/>
          <w:sz w:val="24"/>
          <w:szCs w:val="24"/>
        </w:rPr>
      </w:pPr>
    </w:p>
    <w:p w14:paraId="1811EAE5" w14:textId="77777777" w:rsidR="007276F2" w:rsidRDefault="007276F2" w:rsidP="00326085">
      <w:pPr>
        <w:spacing w:before="100" w:beforeAutospacing="1" w:after="100" w:afterAutospacing="1" w:line="240" w:lineRule="auto"/>
        <w:jc w:val="both"/>
        <w:rPr>
          <w:rFonts w:ascii="Times New Roman" w:hAnsi="Times New Roman" w:cs="Times New Roman"/>
          <w:sz w:val="24"/>
          <w:szCs w:val="24"/>
        </w:rPr>
      </w:pPr>
    </w:p>
    <w:p w14:paraId="2AB4E5C2" w14:textId="77777777" w:rsidR="00903050" w:rsidRDefault="00903050" w:rsidP="00326085">
      <w:pPr>
        <w:spacing w:before="100" w:beforeAutospacing="1" w:after="100" w:afterAutospacing="1" w:line="240" w:lineRule="auto"/>
        <w:jc w:val="both"/>
        <w:rPr>
          <w:rFonts w:ascii="Times New Roman" w:hAnsi="Times New Roman" w:cs="Times New Roman"/>
          <w:sz w:val="24"/>
          <w:szCs w:val="24"/>
        </w:rPr>
      </w:pPr>
    </w:p>
    <w:p w14:paraId="1DA075B6" w14:textId="0B65C528" w:rsidR="00D630FD" w:rsidRPr="00602A02" w:rsidRDefault="00D630FD" w:rsidP="00D630FD">
      <w:pPr>
        <w:tabs>
          <w:tab w:val="left" w:pos="5040"/>
        </w:tabs>
        <w:jc w:val="both"/>
        <w:rPr>
          <w:rFonts w:ascii="Times New Roman" w:hAnsi="Times New Roman" w:cs="Times New Roman"/>
          <w:sz w:val="24"/>
          <w:szCs w:val="24"/>
        </w:rPr>
      </w:pPr>
      <w:r w:rsidRPr="00602A02">
        <w:rPr>
          <w:rFonts w:ascii="Times New Roman" w:hAnsi="Times New Roman" w:cs="Times New Roman"/>
          <w:sz w:val="24"/>
          <w:szCs w:val="24"/>
        </w:rPr>
        <w:t xml:space="preserve">Key words: International </w:t>
      </w:r>
      <w:r w:rsidR="00273B2A">
        <w:rPr>
          <w:rFonts w:ascii="Times New Roman" w:hAnsi="Times New Roman" w:cs="Times New Roman"/>
          <w:sz w:val="24"/>
          <w:szCs w:val="24"/>
        </w:rPr>
        <w:t>Business</w:t>
      </w:r>
      <w:r w:rsidRPr="00602A02">
        <w:rPr>
          <w:rFonts w:ascii="Times New Roman" w:hAnsi="Times New Roman" w:cs="Times New Roman"/>
          <w:sz w:val="24"/>
          <w:szCs w:val="24"/>
        </w:rPr>
        <w:t xml:space="preserve">, </w:t>
      </w:r>
      <w:r w:rsidR="00273B2A">
        <w:rPr>
          <w:rFonts w:ascii="Times New Roman" w:hAnsi="Times New Roman" w:cs="Times New Roman"/>
          <w:sz w:val="24"/>
          <w:szCs w:val="24"/>
        </w:rPr>
        <w:t>Foreign Aid, International Agreements, Poverty Analysis</w:t>
      </w:r>
    </w:p>
    <w:p w14:paraId="2FD0817D" w14:textId="1BF4B601" w:rsidR="00D630FD" w:rsidRPr="00602A02" w:rsidRDefault="00D630FD" w:rsidP="00D630FD">
      <w:pPr>
        <w:jc w:val="both"/>
        <w:rPr>
          <w:rFonts w:ascii="Times New Roman" w:hAnsi="Times New Roman" w:cs="Times New Roman"/>
          <w:sz w:val="24"/>
          <w:szCs w:val="24"/>
        </w:rPr>
      </w:pPr>
      <w:r w:rsidRPr="00602A02">
        <w:rPr>
          <w:rFonts w:ascii="Times New Roman" w:hAnsi="Times New Roman" w:cs="Times New Roman"/>
          <w:sz w:val="24"/>
          <w:szCs w:val="24"/>
        </w:rPr>
        <w:t>JEL Classification: F</w:t>
      </w:r>
      <w:r w:rsidR="00273B2A">
        <w:rPr>
          <w:rFonts w:ascii="Times New Roman" w:hAnsi="Times New Roman" w:cs="Times New Roman"/>
          <w:sz w:val="24"/>
          <w:szCs w:val="24"/>
        </w:rPr>
        <w:t>23, F35, F53, I32</w:t>
      </w:r>
    </w:p>
    <w:p w14:paraId="117DF66F" w14:textId="77777777" w:rsidR="002D57FC" w:rsidRDefault="00D630FD" w:rsidP="002D57FC">
      <w:pPr>
        <w:spacing w:after="100" w:afterAutospacing="1" w:line="360" w:lineRule="auto"/>
        <w:rPr>
          <w:rFonts w:ascii="Times New Roman" w:hAnsi="Times New Roman" w:cs="Times New Roman"/>
          <w:b/>
          <w:sz w:val="24"/>
          <w:szCs w:val="24"/>
        </w:rPr>
      </w:pPr>
      <w:r w:rsidRPr="00602A02">
        <w:rPr>
          <w:rFonts w:ascii="Times New Roman" w:hAnsi="Times New Roman" w:cs="Times New Roman"/>
          <w:sz w:val="24"/>
          <w:szCs w:val="24"/>
        </w:rPr>
        <w:br w:type="page"/>
      </w:r>
      <w:r w:rsidR="00326085" w:rsidRPr="00602A02">
        <w:rPr>
          <w:rFonts w:ascii="Times New Roman" w:hAnsi="Times New Roman" w:cs="Times New Roman"/>
          <w:b/>
          <w:sz w:val="24"/>
          <w:szCs w:val="24"/>
        </w:rPr>
        <w:lastRenderedPageBreak/>
        <w:t>Abstract</w:t>
      </w:r>
    </w:p>
    <w:p w14:paraId="64B44D65" w14:textId="35EAF321" w:rsidR="003865B9" w:rsidRPr="003865B9" w:rsidRDefault="003865B9" w:rsidP="002D57FC">
      <w:pPr>
        <w:spacing w:after="100" w:afterAutospacing="1" w:line="360" w:lineRule="auto"/>
        <w:ind w:firstLine="720"/>
        <w:rPr>
          <w:rFonts w:ascii="Times New Roman" w:hAnsi="Times New Roman" w:cs="Times New Roman"/>
          <w:sz w:val="24"/>
          <w:szCs w:val="24"/>
        </w:rPr>
      </w:pPr>
      <w:r w:rsidRPr="003865B9">
        <w:rPr>
          <w:rFonts w:ascii="Times New Roman" w:hAnsi="Times New Roman" w:cs="Times New Roman"/>
          <w:sz w:val="24"/>
          <w:szCs w:val="24"/>
        </w:rPr>
        <w:t>This paper investigates the extent to which two-way trade and investment between the United States and Africa meet the Sustainable Development Goal. The US government announced the “Prosper Africa” initiative in June 2018 to advance mutually beneficial trade and commercial ties between the United States and countries across the African continent, with the bold goal to double trade and investment. Despite the debate about the extent trade openness benefits poor people in developing countries, the literature has been slow to address the impact of Foreign Direct Investment (FDI) and associated changes in relative factor prices. Using a panel of trade, investment, and poverty data, this paper will identify the extent to which FDI flows from the United States to Africa, as well as the reverse, impact key SDG targets.</w:t>
      </w:r>
    </w:p>
    <w:p w14:paraId="7FBB334B" w14:textId="53CB4E88" w:rsidR="00326085" w:rsidRPr="00602A02" w:rsidRDefault="00326085" w:rsidP="002D57FC">
      <w:pPr>
        <w:pStyle w:val="ListParagraph"/>
        <w:numPr>
          <w:ilvl w:val="0"/>
          <w:numId w:val="1"/>
        </w:numPr>
        <w:tabs>
          <w:tab w:val="left" w:pos="720"/>
        </w:tabs>
        <w:spacing w:after="100" w:afterAutospacing="1" w:line="360" w:lineRule="auto"/>
        <w:ind w:left="0" w:firstLine="0"/>
        <w:rPr>
          <w:rFonts w:ascii="Times New Roman" w:hAnsi="Times New Roman" w:cs="Times New Roman"/>
          <w:b/>
          <w:sz w:val="24"/>
          <w:szCs w:val="24"/>
        </w:rPr>
      </w:pPr>
      <w:r w:rsidRPr="00602A02">
        <w:rPr>
          <w:rFonts w:ascii="Times New Roman" w:hAnsi="Times New Roman" w:cs="Times New Roman"/>
          <w:b/>
          <w:sz w:val="24"/>
          <w:szCs w:val="24"/>
        </w:rPr>
        <w:t>Introduction</w:t>
      </w:r>
      <w:r w:rsidR="008924DC" w:rsidRPr="00602A02">
        <w:rPr>
          <w:rFonts w:ascii="Times New Roman" w:hAnsi="Times New Roman" w:cs="Times New Roman"/>
          <w:b/>
          <w:sz w:val="24"/>
          <w:szCs w:val="24"/>
        </w:rPr>
        <w:t xml:space="preserve"> on </w:t>
      </w:r>
      <w:r w:rsidR="007276F2">
        <w:rPr>
          <w:rFonts w:ascii="Times New Roman" w:hAnsi="Times New Roman" w:cs="Times New Roman"/>
          <w:b/>
          <w:sz w:val="24"/>
          <w:szCs w:val="24"/>
        </w:rPr>
        <w:t>FDI and Poverty</w:t>
      </w:r>
    </w:p>
    <w:p w14:paraId="19BB8902" w14:textId="2E530975" w:rsidR="00207140" w:rsidRDefault="007276F2" w:rsidP="002D57FC">
      <w:pPr>
        <w:spacing w:after="100" w:afterAutospacing="1"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A56FC7" w:rsidRPr="00602A02">
        <w:rPr>
          <w:rFonts w:ascii="Times New Roman" w:hAnsi="Times New Roman" w:cs="Times New Roman"/>
          <w:color w:val="000000"/>
          <w:sz w:val="24"/>
          <w:szCs w:val="24"/>
        </w:rPr>
        <w:t xml:space="preserve">number of sources suggests that the relationship between investments in </w:t>
      </w:r>
      <w:r>
        <w:rPr>
          <w:rFonts w:ascii="Times New Roman" w:hAnsi="Times New Roman" w:cs="Times New Roman"/>
          <w:color w:val="000000"/>
          <w:sz w:val="24"/>
          <w:szCs w:val="24"/>
        </w:rPr>
        <w:t>FDI</w:t>
      </w:r>
      <w:r w:rsidR="00A56FC7" w:rsidRPr="00602A02">
        <w:rPr>
          <w:rFonts w:ascii="Times New Roman" w:hAnsi="Times New Roman" w:cs="Times New Roman"/>
          <w:color w:val="000000"/>
          <w:sz w:val="24"/>
          <w:szCs w:val="24"/>
        </w:rPr>
        <w:t xml:space="preserve"> and poverty reduction is not straightforward</w:t>
      </w:r>
      <w:r w:rsidR="005E3259">
        <w:rPr>
          <w:rFonts w:ascii="Times New Roman" w:hAnsi="Times New Roman" w:cs="Times New Roman"/>
          <w:color w:val="000000"/>
          <w:sz w:val="24"/>
          <w:szCs w:val="24"/>
        </w:rPr>
        <w:t xml:space="preserve">. </w:t>
      </w:r>
      <w:r w:rsidR="00A56FC7" w:rsidRPr="00602A02">
        <w:rPr>
          <w:rFonts w:ascii="Times New Roman" w:hAnsi="Times New Roman" w:cs="Times New Roman"/>
          <w:color w:val="000000"/>
          <w:sz w:val="24"/>
          <w:szCs w:val="24"/>
        </w:rPr>
        <w:t xml:space="preserve">This research posits that if </w:t>
      </w:r>
      <w:r>
        <w:rPr>
          <w:rFonts w:ascii="Times New Roman" w:hAnsi="Times New Roman" w:cs="Times New Roman"/>
          <w:color w:val="000000"/>
          <w:sz w:val="24"/>
          <w:szCs w:val="24"/>
        </w:rPr>
        <w:t>FDI</w:t>
      </w:r>
      <w:r w:rsidR="00A56FC7" w:rsidRPr="00602A02">
        <w:rPr>
          <w:rFonts w:ascii="Times New Roman" w:hAnsi="Times New Roman" w:cs="Times New Roman"/>
          <w:color w:val="000000"/>
          <w:sz w:val="24"/>
          <w:szCs w:val="24"/>
        </w:rPr>
        <w:t xml:space="preserve"> is to reduce poverty, efforts are needed to protect and include vulnerable groups while increasing their productivity, competitiveness and capacity to capture the gains of trade</w:t>
      </w:r>
      <w:r w:rsidR="005E3259">
        <w:rPr>
          <w:rFonts w:ascii="Times New Roman" w:hAnsi="Times New Roman" w:cs="Times New Roman"/>
          <w:color w:val="000000"/>
          <w:sz w:val="24"/>
          <w:szCs w:val="24"/>
        </w:rPr>
        <w:t xml:space="preserve">. </w:t>
      </w:r>
      <w:r w:rsidR="00A56FC7" w:rsidRPr="00602A02">
        <w:rPr>
          <w:rFonts w:ascii="Times New Roman" w:hAnsi="Times New Roman" w:cs="Times New Roman"/>
          <w:color w:val="000000"/>
          <w:sz w:val="24"/>
          <w:szCs w:val="24"/>
        </w:rPr>
        <w:t xml:space="preserve"> </w:t>
      </w:r>
      <w:proofErr w:type="spellStart"/>
      <w:r w:rsidR="00A56FC7" w:rsidRPr="00602A02">
        <w:rPr>
          <w:rFonts w:ascii="Times New Roman" w:hAnsi="Times New Roman" w:cs="Times New Roman"/>
          <w:color w:val="000000"/>
          <w:sz w:val="24"/>
          <w:szCs w:val="24"/>
        </w:rPr>
        <w:t>Ravallion</w:t>
      </w:r>
      <w:proofErr w:type="spellEnd"/>
      <w:r w:rsidR="005E3259">
        <w:rPr>
          <w:rFonts w:ascii="Times New Roman" w:hAnsi="Times New Roman" w:cs="Times New Roman"/>
          <w:color w:val="000000"/>
          <w:sz w:val="24"/>
          <w:szCs w:val="24"/>
        </w:rPr>
        <w:t xml:space="preserve"> (2006)</w:t>
      </w:r>
      <w:r w:rsidR="00A56FC7" w:rsidRPr="00602A02">
        <w:rPr>
          <w:rFonts w:ascii="Times New Roman" w:hAnsi="Times New Roman" w:cs="Times New Roman"/>
          <w:color w:val="000000"/>
          <w:sz w:val="24"/>
          <w:szCs w:val="24"/>
        </w:rPr>
        <w:t xml:space="preserve"> argues that while growth is necessary for poverty reduction, it is insufficient</w:t>
      </w:r>
      <w:r w:rsidR="005E3259">
        <w:rPr>
          <w:rFonts w:ascii="Times New Roman" w:hAnsi="Times New Roman" w:cs="Times New Roman"/>
          <w:color w:val="000000"/>
          <w:sz w:val="24"/>
          <w:szCs w:val="24"/>
        </w:rPr>
        <w:t>.</w:t>
      </w:r>
      <w:r w:rsidR="005E3259">
        <w:rPr>
          <w:rStyle w:val="FootnoteReference"/>
          <w:rFonts w:ascii="Times New Roman" w:hAnsi="Times New Roman" w:cs="Times New Roman"/>
          <w:color w:val="000000"/>
          <w:sz w:val="24"/>
          <w:szCs w:val="24"/>
        </w:rPr>
        <w:footnoteReference w:id="2"/>
      </w:r>
      <w:r w:rsidR="005E3259">
        <w:rPr>
          <w:rFonts w:ascii="Times New Roman" w:hAnsi="Times New Roman" w:cs="Times New Roman"/>
          <w:color w:val="000000"/>
          <w:sz w:val="24"/>
          <w:szCs w:val="24"/>
        </w:rPr>
        <w:t xml:space="preserve"> </w:t>
      </w:r>
    </w:p>
    <w:p w14:paraId="429EA83E" w14:textId="075C45F5" w:rsidR="003865B9" w:rsidRPr="003865B9" w:rsidRDefault="003865B9" w:rsidP="00B21F3D">
      <w:pPr>
        <w:spacing w:line="360" w:lineRule="auto"/>
        <w:ind w:firstLine="720"/>
        <w:rPr>
          <w:rFonts w:ascii="Times New Roman" w:hAnsi="Times New Roman" w:cs="Times New Roman"/>
          <w:i/>
          <w:iCs/>
          <w:color w:val="000000"/>
          <w:sz w:val="24"/>
          <w:szCs w:val="24"/>
        </w:rPr>
      </w:pPr>
      <w:r>
        <w:rPr>
          <w:rFonts w:ascii="Times New Roman" w:hAnsi="Times New Roman" w:cs="Times New Roman"/>
          <w:i/>
          <w:iCs/>
          <w:color w:val="000000"/>
          <w:sz w:val="24"/>
          <w:szCs w:val="24"/>
        </w:rPr>
        <w:t>Continue this discussion as the overview.</w:t>
      </w:r>
      <w:r w:rsidR="002D57FC">
        <w:rPr>
          <w:rFonts w:ascii="Times New Roman" w:hAnsi="Times New Roman" w:cs="Times New Roman"/>
          <w:i/>
          <w:iCs/>
          <w:color w:val="000000"/>
          <w:sz w:val="24"/>
          <w:szCs w:val="24"/>
        </w:rPr>
        <w:t xml:space="preserve"> I’ll write up a bunch of Prosper Africa stuff when I get a chance. Bring in the references from the Columbia Law School paper on SDGs and MNEs.</w:t>
      </w:r>
    </w:p>
    <w:p w14:paraId="3C4EACCA" w14:textId="77777777" w:rsidR="008924DC" w:rsidRPr="00602A02" w:rsidRDefault="008924DC" w:rsidP="008924DC">
      <w:pPr>
        <w:pStyle w:val="ListParagraph"/>
        <w:numPr>
          <w:ilvl w:val="0"/>
          <w:numId w:val="1"/>
        </w:numPr>
        <w:tabs>
          <w:tab w:val="left" w:pos="720"/>
        </w:tabs>
        <w:spacing w:after="0" w:line="360" w:lineRule="auto"/>
        <w:ind w:left="0" w:firstLine="0"/>
        <w:rPr>
          <w:rFonts w:ascii="Times New Roman" w:hAnsi="Times New Roman" w:cs="Times New Roman"/>
          <w:b/>
          <w:sz w:val="24"/>
          <w:szCs w:val="24"/>
        </w:rPr>
      </w:pPr>
      <w:r w:rsidRPr="00602A02">
        <w:rPr>
          <w:rFonts w:ascii="Times New Roman" w:hAnsi="Times New Roman" w:cs="Times New Roman"/>
          <w:b/>
          <w:sz w:val="24"/>
          <w:szCs w:val="24"/>
        </w:rPr>
        <w:t>Literature Review</w:t>
      </w:r>
    </w:p>
    <w:p w14:paraId="314784BF" w14:textId="195DF68A" w:rsidR="00D630FD" w:rsidRPr="00602A02" w:rsidRDefault="003865B9" w:rsidP="00D630FD">
      <w:pPr>
        <w:spacing w:after="120" w:line="360" w:lineRule="auto"/>
        <w:ind w:firstLine="720"/>
        <w:jc w:val="both"/>
        <w:rPr>
          <w:rFonts w:ascii="Times New Roman" w:hAnsi="Times New Roman" w:cs="Times New Roman"/>
          <w:sz w:val="24"/>
          <w:szCs w:val="24"/>
        </w:rPr>
      </w:pPr>
      <w:r>
        <w:rPr>
          <w:rFonts w:ascii="Times New Roman" w:hAnsi="Times New Roman" w:cs="Times New Roman"/>
          <w:color w:val="222222"/>
          <w:sz w:val="24"/>
          <w:szCs w:val="24"/>
        </w:rPr>
        <w:t>TBD. Would be nice to have on hand a junior partner to maybe run the lit review. I’ll ask around DC. It’s also useful for us to write them up, I have notes on the papers we’ve been sharing, if you want to also start typing them in, we’d have a rough draft.</w:t>
      </w:r>
    </w:p>
    <w:p w14:paraId="1FBC522E" w14:textId="25DAA988" w:rsidR="00D630FD" w:rsidRDefault="003865B9" w:rsidP="00C40130">
      <w:pPr>
        <w:pStyle w:val="ListParagraph"/>
        <w:numPr>
          <w:ilvl w:val="0"/>
          <w:numId w:val="1"/>
        </w:numPr>
        <w:tabs>
          <w:tab w:val="left" w:pos="720"/>
        </w:tabs>
        <w:spacing w:after="0" w:line="360" w:lineRule="auto"/>
        <w:ind w:hanging="1080"/>
        <w:rPr>
          <w:rFonts w:ascii="Times New Roman" w:hAnsi="Times New Roman" w:cs="Times New Roman"/>
          <w:b/>
          <w:sz w:val="24"/>
          <w:szCs w:val="24"/>
        </w:rPr>
      </w:pPr>
      <w:r>
        <w:rPr>
          <w:rFonts w:ascii="Times New Roman" w:hAnsi="Times New Roman" w:cs="Times New Roman"/>
          <w:b/>
          <w:sz w:val="24"/>
          <w:szCs w:val="24"/>
        </w:rPr>
        <w:t>Trends in development aid and FDI in Africa</w:t>
      </w:r>
    </w:p>
    <w:p w14:paraId="6A860752" w14:textId="2F666DC5" w:rsidR="0091766D" w:rsidRDefault="003865B9" w:rsidP="003865B9">
      <w:pPr>
        <w:spacing w:after="120" w:line="360" w:lineRule="auto"/>
        <w:ind w:left="90" w:firstLine="630"/>
        <w:jc w:val="both"/>
        <w:rPr>
          <w:rFonts w:ascii="Times New Roman" w:hAnsi="Times New Roman" w:cs="Times New Roman"/>
          <w:i/>
          <w:iCs/>
          <w:sz w:val="24"/>
          <w:szCs w:val="24"/>
        </w:rPr>
      </w:pPr>
      <w:r>
        <w:rPr>
          <w:rFonts w:ascii="Times New Roman" w:hAnsi="Times New Roman" w:cs="Times New Roman"/>
          <w:i/>
          <w:iCs/>
          <w:sz w:val="24"/>
          <w:szCs w:val="24"/>
        </w:rPr>
        <w:lastRenderedPageBreak/>
        <w:t>Here, to update some of the work from my 2013 paper. I’ll copy in some of the work from there, as the basis. Shouldn’t be more than a half-</w:t>
      </w:r>
      <w:proofErr w:type="gramStart"/>
      <w:r>
        <w:rPr>
          <w:rFonts w:ascii="Times New Roman" w:hAnsi="Times New Roman" w:cs="Times New Roman"/>
          <w:i/>
          <w:iCs/>
          <w:sz w:val="24"/>
          <w:szCs w:val="24"/>
        </w:rPr>
        <w:t>days</w:t>
      </w:r>
      <w:proofErr w:type="gramEnd"/>
      <w:r>
        <w:rPr>
          <w:rFonts w:ascii="Times New Roman" w:hAnsi="Times New Roman" w:cs="Times New Roman"/>
          <w:i/>
          <w:iCs/>
          <w:sz w:val="24"/>
          <w:szCs w:val="24"/>
        </w:rPr>
        <w:t xml:space="preserve"> work to make the figures and write them up.</w:t>
      </w:r>
    </w:p>
    <w:p w14:paraId="7D4970E3" w14:textId="77777777" w:rsidR="003865B9" w:rsidRPr="003865B9" w:rsidRDefault="003865B9" w:rsidP="003865B9">
      <w:pPr>
        <w:spacing w:after="80" w:line="240" w:lineRule="exact"/>
        <w:jc w:val="both"/>
        <w:rPr>
          <w:rFonts w:ascii="Times New Roman" w:eastAsia="Times New Roman" w:hAnsi="Times New Roman" w:cs="Times New Roman"/>
        </w:rPr>
      </w:pPr>
      <w:r w:rsidRPr="003865B9">
        <w:rPr>
          <w:rFonts w:ascii="Times New Roman" w:eastAsia="Times New Roman" w:hAnsi="Times New Roman" w:cs="Times New Roman"/>
        </w:rPr>
        <w:t>Throughout the latter half of the twentieth century, Africa lagged the rest of the world with regard to the creation or receipt of private investment, capital formation, and global FDI flows. For its primary source of external capital, Africa relied on development aid, usually in the form of concessionary loans. In an empirical analysis, Nicholson (2012) identifies sub-Saharan Africa as an “AID-oriented region” in which aid flows continue to dominate private investment flows.</w:t>
      </w:r>
      <w:r w:rsidRPr="003865B9">
        <w:rPr>
          <w:rStyle w:val="EndnoteReference"/>
          <w:rFonts w:ascii="Times New Roman" w:eastAsia="Times New Roman" w:hAnsi="Times New Roman" w:cs="Times New Roman"/>
        </w:rPr>
        <w:endnoteReference w:id="1"/>
      </w:r>
      <w:r w:rsidRPr="003865B9">
        <w:rPr>
          <w:rFonts w:ascii="Times New Roman" w:eastAsia="Times New Roman" w:hAnsi="Times New Roman" w:cs="Times New Roman"/>
        </w:rPr>
        <w:t xml:space="preserve"> As </w:t>
      </w:r>
      <w:r w:rsidRPr="003865B9">
        <w:rPr>
          <w:rFonts w:ascii="Times New Roman" w:hAnsi="Times New Roman" w:cs="Times New Roman"/>
        </w:rPr>
        <w:fldChar w:fldCharType="begin"/>
      </w:r>
      <w:r w:rsidRPr="003865B9">
        <w:rPr>
          <w:rFonts w:ascii="Times New Roman" w:hAnsi="Times New Roman" w:cs="Times New Roman"/>
        </w:rPr>
        <w:instrText xml:space="preserve"> REF _Ref333393509 \h  \* MERGEFORMAT </w:instrText>
      </w:r>
      <w:r w:rsidRPr="003865B9">
        <w:rPr>
          <w:rFonts w:ascii="Times New Roman" w:hAnsi="Times New Roman" w:cs="Times New Roman"/>
        </w:rPr>
      </w:r>
      <w:r w:rsidRPr="003865B9">
        <w:rPr>
          <w:rFonts w:ascii="Times New Roman" w:hAnsi="Times New Roman" w:cs="Times New Roman"/>
        </w:rPr>
        <w:fldChar w:fldCharType="separate"/>
      </w:r>
      <w:r w:rsidRPr="003865B9">
        <w:rPr>
          <w:rFonts w:ascii="Times New Roman" w:hAnsi="Times New Roman" w:cs="Times New Roman"/>
        </w:rPr>
        <w:t>Figure 5</w:t>
      </w:r>
      <w:r w:rsidRPr="003865B9">
        <w:rPr>
          <w:rFonts w:ascii="Times New Roman" w:hAnsi="Times New Roman" w:cs="Times New Roman"/>
        </w:rPr>
        <w:fldChar w:fldCharType="end"/>
      </w:r>
      <w:r w:rsidRPr="003865B9">
        <w:rPr>
          <w:rFonts w:ascii="Times New Roman" w:eastAsia="Times New Roman" w:hAnsi="Times New Roman" w:cs="Times New Roman"/>
        </w:rPr>
        <w:t xml:space="preserve"> shows, the African share of FDI in developing countries was more than 50 percent in the 1970’s, reaching a peak of 59 percent in 1972, but slipped below 10 percent by the 1990s; meanwhile, Africa’s share of development aid has reached around 40 percent.</w:t>
      </w:r>
      <w:r w:rsidRPr="003865B9">
        <w:rPr>
          <w:rStyle w:val="EndnoteReference"/>
          <w:rFonts w:ascii="Times New Roman" w:eastAsia="Times New Roman" w:hAnsi="Times New Roman" w:cs="Times New Roman"/>
        </w:rPr>
        <w:endnoteReference w:id="2"/>
      </w:r>
      <w:r w:rsidRPr="003865B9">
        <w:rPr>
          <w:rFonts w:ascii="Times New Roman" w:eastAsia="Times New Roman" w:hAnsi="Times New Roman" w:cs="Times New Roman"/>
        </w:rPr>
        <w:t xml:space="preserve">  </w:t>
      </w:r>
    </w:p>
    <w:p w14:paraId="057CBC04" w14:textId="77777777" w:rsidR="003865B9" w:rsidRPr="003865B9" w:rsidRDefault="003865B9" w:rsidP="003865B9">
      <w:pPr>
        <w:pStyle w:val="Caption"/>
        <w:keepNext/>
        <w:spacing w:after="80"/>
        <w:rPr>
          <w:sz w:val="22"/>
          <w:szCs w:val="22"/>
        </w:rPr>
      </w:pPr>
      <w:bookmarkStart w:id="0" w:name="_Ref333393509"/>
      <w:r w:rsidRPr="003865B9">
        <w:rPr>
          <w:sz w:val="22"/>
          <w:szCs w:val="22"/>
        </w:rPr>
        <w:t xml:space="preserve">Figure </w:t>
      </w:r>
      <w:r w:rsidRPr="003865B9">
        <w:rPr>
          <w:sz w:val="22"/>
          <w:szCs w:val="22"/>
        </w:rPr>
        <w:fldChar w:fldCharType="begin"/>
      </w:r>
      <w:r w:rsidRPr="003865B9">
        <w:rPr>
          <w:sz w:val="22"/>
          <w:szCs w:val="22"/>
        </w:rPr>
        <w:instrText xml:space="preserve"> SEQ Figure \* ARABIC </w:instrText>
      </w:r>
      <w:r w:rsidRPr="003865B9">
        <w:rPr>
          <w:sz w:val="22"/>
          <w:szCs w:val="22"/>
        </w:rPr>
        <w:fldChar w:fldCharType="separate"/>
      </w:r>
      <w:r w:rsidRPr="003865B9">
        <w:rPr>
          <w:noProof/>
          <w:sz w:val="22"/>
          <w:szCs w:val="22"/>
        </w:rPr>
        <w:t>5</w:t>
      </w:r>
      <w:r w:rsidRPr="003865B9">
        <w:rPr>
          <w:sz w:val="22"/>
          <w:szCs w:val="22"/>
        </w:rPr>
        <w:fldChar w:fldCharType="end"/>
      </w:r>
      <w:bookmarkEnd w:id="0"/>
      <w:r w:rsidRPr="003865B9">
        <w:rPr>
          <w:sz w:val="22"/>
          <w:szCs w:val="22"/>
        </w:rPr>
        <w:t>: Trends in development aid and FDI in Africa</w:t>
      </w:r>
    </w:p>
    <w:p w14:paraId="1D458932" w14:textId="77777777" w:rsidR="003865B9" w:rsidRPr="003865B9" w:rsidRDefault="003865B9" w:rsidP="003865B9">
      <w:pPr>
        <w:keepNext/>
        <w:keepLines/>
        <w:spacing w:after="80" w:line="240" w:lineRule="auto"/>
        <w:rPr>
          <w:rFonts w:ascii="Times New Roman" w:hAnsi="Times New Roman" w:cs="Times New Roman"/>
          <w:b/>
          <w:color w:val="0070C0"/>
        </w:rPr>
      </w:pPr>
      <w:r w:rsidRPr="003865B9">
        <w:rPr>
          <w:rFonts w:ascii="Times New Roman" w:hAnsi="Times New Roman" w:cs="Times New Roman"/>
          <w:b/>
          <w:noProof/>
          <w:color w:val="0070C0"/>
        </w:rPr>
        <w:drawing>
          <wp:inline distT="0" distB="0" distL="0" distR="0" wp14:anchorId="7B7D3FA9" wp14:editId="0F002EBC">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AD0F4B" w14:textId="77777777" w:rsidR="003865B9" w:rsidRPr="003865B9" w:rsidRDefault="003865B9" w:rsidP="003865B9">
      <w:pPr>
        <w:spacing w:after="80" w:line="240" w:lineRule="exact"/>
        <w:jc w:val="both"/>
        <w:rPr>
          <w:rFonts w:ascii="Times New Roman" w:hAnsi="Times New Roman" w:cs="Times New Roman"/>
        </w:rPr>
      </w:pPr>
      <w:proofErr w:type="spellStart"/>
      <w:r w:rsidRPr="003865B9">
        <w:rPr>
          <w:rFonts w:ascii="Times New Roman" w:hAnsi="Times New Roman" w:cs="Times New Roman"/>
        </w:rPr>
        <w:t>Asiedu</w:t>
      </w:r>
      <w:proofErr w:type="spellEnd"/>
      <w:r w:rsidRPr="003865B9">
        <w:rPr>
          <w:rFonts w:ascii="Times New Roman" w:hAnsi="Times New Roman" w:cs="Times New Roman"/>
        </w:rPr>
        <w:t xml:space="preserve"> (2002) investigates the “Africa effect” in which the explanatory factors for FDI in developing countries may not have similar force in sub-Saharan Africa. Using data for the years 1988 to 1997, she finds that determinants of FDI such as return on investment and infrastructure have positive impacts in developing countries outside of Africa but have no statistically valid impact in sub-Saharan African countries.</w:t>
      </w:r>
      <w:r w:rsidRPr="003865B9">
        <w:rPr>
          <w:rStyle w:val="EndnoteReference"/>
          <w:rFonts w:ascii="Times New Roman" w:hAnsi="Times New Roman" w:cs="Times New Roman"/>
        </w:rPr>
        <w:endnoteReference w:id="3"/>
      </w:r>
      <w:r w:rsidRPr="003865B9">
        <w:rPr>
          <w:rFonts w:ascii="Times New Roman" w:hAnsi="Times New Roman" w:cs="Times New Roman"/>
        </w:rPr>
        <w:t xml:space="preserve">  In addition, she finds that “openness to trade”, as defined by the ratio of total trade to GDP, promotes FDI in all developing countries but has a significantly smaller marginal impact in sub-Saharan Africa. She concludes that, on this metric, Africa is different and suggests that effective policies elsewhere may not be effective here. </w:t>
      </w:r>
      <w:proofErr w:type="spellStart"/>
      <w:r w:rsidRPr="003865B9">
        <w:rPr>
          <w:rFonts w:ascii="Times New Roman" w:hAnsi="Times New Roman" w:cs="Times New Roman"/>
        </w:rPr>
        <w:t>Asiedu</w:t>
      </w:r>
      <w:proofErr w:type="spellEnd"/>
      <w:r w:rsidRPr="003865B9">
        <w:rPr>
          <w:rFonts w:ascii="Times New Roman" w:hAnsi="Times New Roman" w:cs="Times New Roman"/>
        </w:rPr>
        <w:t xml:space="preserve"> explains the lack of explanatory power of return on investment as due to a reputation effect across the continent, including risk of investment, lack of information, and the risk of policy reversal. The openness-to-trade indicator may be less effective in Africa due to the debt cycle story, and infrastructure could be related to resource-based FDI in Africa. Collier (2007) suggests that a potential issue for investment in Africa may have been the “time-consistency” problem, in that present governments are unable to bind themselves from confiscating investments in the future which then diminishes investment. This dynamic, however, may have changed based on a structural policy reform of the 2000s. </w:t>
      </w:r>
    </w:p>
    <w:p w14:paraId="7D3078B3" w14:textId="77777777" w:rsidR="003865B9" w:rsidRPr="003865B9" w:rsidRDefault="003865B9" w:rsidP="003865B9">
      <w:pPr>
        <w:spacing w:after="80" w:line="240" w:lineRule="exact"/>
        <w:jc w:val="both"/>
        <w:rPr>
          <w:rFonts w:ascii="Times New Roman" w:hAnsi="Times New Roman" w:cs="Times New Roman"/>
        </w:rPr>
      </w:pPr>
      <w:r w:rsidRPr="003865B9">
        <w:rPr>
          <w:rFonts w:ascii="Times New Roman" w:hAnsi="Times New Roman" w:cs="Times New Roman"/>
        </w:rPr>
        <w:t xml:space="preserve">Anyanwu (2012) finds in an analysis of FDI from 1996 to 1998 that FDI flows to African countries are positively associated with market size, openness, rule of law, clusters, and natural resources. He also found that FDI is negatively correlated with higher financial development in Africa, and that “higher FDI goes where foreign aid goes.”  He argues that foreign aid affects FDI through a “positive vanguard effect”, by </w:t>
      </w:r>
      <w:r w:rsidRPr="003865B9">
        <w:rPr>
          <w:rFonts w:ascii="Times New Roman" w:hAnsi="Times New Roman" w:cs="Times New Roman"/>
        </w:rPr>
        <w:lastRenderedPageBreak/>
        <w:t xml:space="preserve">lowering perceptions of investment risks and cultivating donor-specific norms, while also improving social and physical infrastructure. </w:t>
      </w:r>
    </w:p>
    <w:p w14:paraId="47935DAB" w14:textId="581EB1DF" w:rsidR="003865B9" w:rsidRDefault="003865B9" w:rsidP="003865B9">
      <w:pPr>
        <w:spacing w:after="80" w:line="240" w:lineRule="exact"/>
        <w:jc w:val="both"/>
        <w:rPr>
          <w:rFonts w:ascii="Times New Roman" w:hAnsi="Times New Roman" w:cs="Times New Roman"/>
        </w:rPr>
      </w:pPr>
      <w:r w:rsidRPr="003865B9">
        <w:rPr>
          <w:rFonts w:ascii="Times New Roman" w:hAnsi="Times New Roman" w:cs="Times New Roman"/>
        </w:rPr>
        <w:t>In sub-Saharan Africa, incoming FDI increased from US$6.7 billion in 2000 to US$25.7 billion in 2010. With these trends, foreign investment has become a much more significant source of capital for investment in African countries and in 2009 accounted for 18 percent of their gross fixed capital formation.</w:t>
      </w:r>
      <w:r w:rsidRPr="003865B9">
        <w:rPr>
          <w:rStyle w:val="EndnoteReference"/>
          <w:rFonts w:ascii="Times New Roman" w:hAnsi="Times New Roman" w:cs="Times New Roman"/>
        </w:rPr>
        <w:endnoteReference w:id="4"/>
      </w:r>
      <w:r w:rsidRPr="003865B9">
        <w:rPr>
          <w:rFonts w:ascii="Times New Roman" w:hAnsi="Times New Roman" w:cs="Times New Roman"/>
        </w:rPr>
        <w:t xml:space="preserve">  The catalyst for the change in investment flows could be a number of factors, including debt relief or other types of development aid. We reassess these statistics under the hypothesis that the debt relief programs represent a potential structural break in the African investment climate. The programs themselves may be representative of a broader geo-political shift in Africa: a post-war and post-debt climate of development.</w:t>
      </w:r>
    </w:p>
    <w:p w14:paraId="4013D2CA" w14:textId="6F16B2DE" w:rsidR="003865B9" w:rsidRPr="003865B9" w:rsidRDefault="003865B9" w:rsidP="003865B9">
      <w:pPr>
        <w:spacing w:after="80" w:line="240" w:lineRule="exact"/>
        <w:jc w:val="both"/>
        <w:rPr>
          <w:rFonts w:ascii="Times New Roman" w:eastAsia="Times New Roman" w:hAnsi="Times New Roman" w:cs="Times New Roman"/>
          <w:iCs/>
        </w:rPr>
      </w:pPr>
      <w:r>
        <w:rPr>
          <w:rFonts w:ascii="Times New Roman" w:hAnsi="Times New Roman" w:cs="Times New Roman"/>
        </w:rPr>
        <w:t>A</w:t>
      </w:r>
      <w:r w:rsidRPr="003865B9">
        <w:rPr>
          <w:rFonts w:ascii="Times New Roman" w:hAnsi="Times New Roman" w:cs="Times New Roman"/>
        </w:rPr>
        <w:t xml:space="preserve"> conclusion to be drawn is that there is no statistical difference for HIPC countries in Africa compared to HIPC countries outside of Africa.  To the extent that African countries have historically offered different incentives for FDI and other market-based activities, these differences appear to have arisen because countries in Africa have skewed towards being heavily-indebted and poor.  One story is that when it comes to debt and FDI, Guinea is more like Guyana than like Botswana.  Debt relief is a story about Africa only because most debt relief took place in Africa.  </w:t>
      </w:r>
      <w:r w:rsidRPr="003865B9">
        <w:rPr>
          <w:rFonts w:ascii="Times New Roman" w:eastAsia="Times New Roman" w:hAnsi="Times New Roman" w:cs="Times New Roman"/>
          <w:iCs/>
        </w:rPr>
        <w:t>An implication is that following the debt relief initiatives, we can anticipate that FDI will flow to Africa by similar mechanisms as in other regions. If the continent is “open for business”, the ability for countries to again engage in public financing to improve market conditions should be anticipated as a positive turn of events.</w:t>
      </w:r>
    </w:p>
    <w:p w14:paraId="538A7895" w14:textId="77777777" w:rsidR="003865B9" w:rsidRPr="003865B9" w:rsidRDefault="003865B9" w:rsidP="003865B9">
      <w:pPr>
        <w:spacing w:after="80" w:line="240" w:lineRule="exact"/>
        <w:jc w:val="both"/>
        <w:rPr>
          <w:rFonts w:ascii="Times New Roman" w:eastAsia="Times New Roman" w:hAnsi="Times New Roman" w:cs="Times New Roman"/>
        </w:rPr>
      </w:pPr>
      <w:r w:rsidRPr="003865B9">
        <w:rPr>
          <w:rFonts w:ascii="Times New Roman" w:eastAsia="Times New Roman" w:hAnsi="Times New Roman" w:cs="Times New Roman"/>
        </w:rPr>
        <w:t xml:space="preserve">One future direction will analyze FDI by sector, specifically disaggregating the flows to account for extractive industries.  As foreign investment in Africa has traditionally been focused on natural resources, further indications that the market potential of the region has shifted in the past decade will be indicated by the mix of investment opportunities.  This line of research would also benefit from a stronger measure of infrastructure that accounts for roads, electricity, and internet access.  </w:t>
      </w:r>
    </w:p>
    <w:p w14:paraId="2C9A8CAF" w14:textId="77777777" w:rsidR="003865B9" w:rsidRPr="003865B9" w:rsidRDefault="003865B9" w:rsidP="003865B9">
      <w:pPr>
        <w:spacing w:after="80" w:line="240" w:lineRule="exact"/>
        <w:jc w:val="both"/>
        <w:rPr>
          <w:rFonts w:ascii="Times New Roman" w:hAnsi="Times New Roman" w:cs="Times New Roman"/>
        </w:rPr>
      </w:pPr>
    </w:p>
    <w:p w14:paraId="5B6C439B" w14:textId="7A39F136" w:rsidR="008924DC" w:rsidRPr="00602A02" w:rsidRDefault="002D57FC" w:rsidP="008924DC">
      <w:pPr>
        <w:pStyle w:val="ListParagraph"/>
        <w:numPr>
          <w:ilvl w:val="0"/>
          <w:numId w:val="1"/>
        </w:numPr>
        <w:tabs>
          <w:tab w:val="left" w:pos="720"/>
        </w:tabs>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 xml:space="preserve">Simple regression of FDI </w:t>
      </w:r>
    </w:p>
    <w:p w14:paraId="636A6993" w14:textId="2094DAA3" w:rsidR="00D630FD" w:rsidRPr="00602A02" w:rsidRDefault="002D57FC" w:rsidP="00D630FD">
      <w:pPr>
        <w:spacing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Per La Goff &amp; Singh, and can something simple like:</w:t>
      </w:r>
    </w:p>
    <w:p w14:paraId="71323DF3" w14:textId="79F47914" w:rsidR="002D57FC" w:rsidRDefault="00D630FD" w:rsidP="002D57FC">
      <w:pPr>
        <w:spacing w:after="120" w:line="360" w:lineRule="auto"/>
        <w:ind w:firstLine="360"/>
        <w:jc w:val="both"/>
        <w:rPr>
          <w:rFonts w:ascii="Times New Roman" w:hAnsi="Times New Roman" w:cs="Times New Roman"/>
          <w:sz w:val="24"/>
          <w:szCs w:val="24"/>
        </w:rPr>
      </w:pPr>
      <w:r w:rsidRPr="00602A02">
        <w:rPr>
          <w:rFonts w:ascii="Times New Roman" w:hAnsi="Times New Roman" w:cs="Times New Roman"/>
          <w:bCs/>
          <w:sz w:val="24"/>
          <w:szCs w:val="24"/>
        </w:rPr>
        <w:t>(2)</w:t>
      </w:r>
      <w:r w:rsidR="002D57FC">
        <w:rPr>
          <w:rFonts w:ascii="Times New Roman" w:hAnsi="Times New Roman" w:cs="Times New Roman"/>
          <w:bCs/>
          <w:sz w:val="24"/>
          <w:szCs w:val="24"/>
        </w:rPr>
        <w:t xml:space="preserve">    </w:t>
      </w:r>
      <m:oMath>
        <m:func>
          <m:funcPr>
            <m:ctrlPr>
              <w:rPr>
                <w:rFonts w:ascii="Cambria Math" w:hAnsi="Times New Roman" w:cs="Times New Roman"/>
                <w:i/>
                <w:noProof/>
                <w:sz w:val="24"/>
                <w:szCs w:val="24"/>
              </w:rPr>
            </m:ctrlPr>
          </m:funcPr>
          <m:fName>
            <m:r>
              <w:rPr>
                <w:rFonts w:ascii="Cambria Math" w:hAnsi="Times New Roman" w:cs="Times New Roman"/>
                <w:noProof/>
                <w:sz w:val="24"/>
                <w:szCs w:val="24"/>
              </w:rPr>
              <m:t>ln</m:t>
            </m:r>
          </m:fName>
          <m:e>
            <m:r>
              <w:rPr>
                <w:rFonts w:ascii="Cambria Math" w:hAnsi="Times New Roman" w:cs="Times New Roman"/>
                <w:noProof/>
                <w:sz w:val="24"/>
                <w:szCs w:val="24"/>
              </w:rPr>
              <m:t>(</m:t>
            </m:r>
          </m:e>
        </m:func>
        <m:r>
          <w:rPr>
            <w:rFonts w:ascii="Cambria Math" w:hAnsi="Times New Roman" w:cs="Times New Roman"/>
            <w:noProof/>
            <w:sz w:val="24"/>
            <w:szCs w:val="24"/>
          </w:rPr>
          <m:t>Poverty,it)=</m:t>
        </m:r>
        <m:sSub>
          <m:sSubPr>
            <m:ctrlPr>
              <w:rPr>
                <w:rFonts w:ascii="Cambria Math" w:hAnsi="Times New Roman" w:cs="Times New Roman"/>
                <w:i/>
                <w:noProof/>
                <w:sz w:val="24"/>
                <w:szCs w:val="24"/>
              </w:rPr>
            </m:ctrlPr>
          </m:sSubPr>
          <m:e>
            <m:r>
              <w:rPr>
                <w:rFonts w:ascii="Cambria Math" w:hAnsi="Times New Roman" w:cs="Times New Roman"/>
                <w:noProof/>
                <w:sz w:val="24"/>
                <w:szCs w:val="24"/>
              </w:rPr>
              <m:t>β</m:t>
            </m:r>
          </m:e>
          <m:sub>
            <m:r>
              <w:rPr>
                <w:rFonts w:ascii="Cambria Math" w:hAnsi="Times New Roman" w:cs="Times New Roman"/>
                <w:noProof/>
                <w:sz w:val="24"/>
                <w:szCs w:val="24"/>
              </w:rPr>
              <m:t>0</m:t>
            </m:r>
          </m:sub>
        </m:sSub>
        <m:r>
          <w:rPr>
            <w:rFonts w:ascii="Cambria Math" w:hAnsi="Times New Roman" w:cs="Times New Roman"/>
            <w:noProof/>
            <w:sz w:val="24"/>
            <w:szCs w:val="24"/>
          </w:rPr>
          <m:t>FDI,it+</m:t>
        </m:r>
        <m:sSub>
          <m:sSubPr>
            <m:ctrlPr>
              <w:rPr>
                <w:rFonts w:ascii="Cambria Math" w:hAnsi="Times New Roman" w:cs="Times New Roman"/>
                <w:i/>
                <w:noProof/>
                <w:sz w:val="24"/>
                <w:szCs w:val="24"/>
              </w:rPr>
            </m:ctrlPr>
          </m:sSubPr>
          <m:e>
            <m:r>
              <w:rPr>
                <w:rFonts w:ascii="Cambria Math" w:hAnsi="Times New Roman" w:cs="Times New Roman"/>
                <w:noProof/>
                <w:sz w:val="24"/>
                <w:szCs w:val="24"/>
              </w:rPr>
              <m:t>β</m:t>
            </m:r>
          </m:e>
          <m:sub>
            <m:r>
              <w:rPr>
                <w:rFonts w:ascii="Cambria Math" w:hAnsi="Times New Roman" w:cs="Times New Roman"/>
                <w:noProof/>
                <w:sz w:val="24"/>
                <w:szCs w:val="24"/>
              </w:rPr>
              <m:t>1</m:t>
            </m:r>
          </m:sub>
        </m:sSub>
        <m:r>
          <w:rPr>
            <w:rFonts w:ascii="Cambria Math" w:hAnsi="Times New Roman" w:cs="Times New Roman"/>
            <w:noProof/>
            <w:sz w:val="24"/>
            <w:szCs w:val="24"/>
          </w:rPr>
          <m:t>X,it+</m:t>
        </m:r>
        <m:sSub>
          <m:sSubPr>
            <m:ctrlPr>
              <w:rPr>
                <w:rFonts w:ascii="Cambria Math" w:hAnsi="Times New Roman" w:cs="Times New Roman"/>
                <w:i/>
                <w:noProof/>
                <w:sz w:val="24"/>
                <w:szCs w:val="24"/>
              </w:rPr>
            </m:ctrlPr>
          </m:sSubPr>
          <m:e>
            <m:r>
              <w:rPr>
                <w:rFonts w:ascii="Cambria Math" w:hAnsi="Times New Roman" w:cs="Times New Roman"/>
                <w:noProof/>
                <w:sz w:val="24"/>
                <w:szCs w:val="24"/>
              </w:rPr>
              <m:t>β</m:t>
            </m:r>
          </m:e>
          <m:sub>
            <m:r>
              <w:rPr>
                <w:rFonts w:ascii="Cambria Math" w:hAnsi="Times New Roman" w:cs="Times New Roman"/>
                <w:noProof/>
                <w:sz w:val="24"/>
                <w:szCs w:val="24"/>
              </w:rPr>
              <m:t>2</m:t>
            </m:r>
          </m:sub>
        </m:sSub>
        <m:r>
          <w:rPr>
            <w:rFonts w:ascii="Cambria Math" w:hAnsi="Cambria Math" w:cs="Times New Roman"/>
            <w:noProof/>
            <w:sz w:val="24"/>
            <w:szCs w:val="24"/>
          </w:rPr>
          <m:t>ɸ</m:t>
        </m:r>
        <m:r>
          <w:rPr>
            <w:rFonts w:ascii="Cambria Math" w:hAnsi="Times New Roman" w:cs="Times New Roman"/>
            <w:noProof/>
            <w:sz w:val="24"/>
            <w:szCs w:val="24"/>
          </w:rPr>
          <m:t>,t+</m:t>
        </m:r>
        <m:sSub>
          <m:sSubPr>
            <m:ctrlPr>
              <w:rPr>
                <w:rFonts w:ascii="Cambria Math" w:hAnsi="Times New Roman" w:cs="Times New Roman"/>
                <w:i/>
                <w:noProof/>
                <w:sz w:val="24"/>
                <w:szCs w:val="24"/>
              </w:rPr>
            </m:ctrlPr>
          </m:sSubPr>
          <m:e>
            <m:r>
              <w:rPr>
                <w:rFonts w:ascii="Cambria Math" w:hAnsi="Times New Roman" w:cs="Times New Roman"/>
                <w:noProof/>
                <w:sz w:val="24"/>
                <w:szCs w:val="24"/>
              </w:rPr>
              <m:t>β</m:t>
            </m:r>
          </m:e>
          <m:sub>
            <m:r>
              <w:rPr>
                <w:rFonts w:ascii="Cambria Math" w:hAnsi="Times New Roman" w:cs="Times New Roman"/>
                <w:noProof/>
                <w:sz w:val="24"/>
                <w:szCs w:val="24"/>
              </w:rPr>
              <m:t>3</m:t>
            </m:r>
          </m:sub>
        </m:sSub>
        <m:r>
          <w:rPr>
            <w:rFonts w:ascii="Cambria Math" w:hAnsi="Cambria Math" w:cs="Times New Roman"/>
            <w:noProof/>
            <w:sz w:val="24"/>
            <w:szCs w:val="24"/>
          </w:rPr>
          <m:t>µ</m:t>
        </m:r>
        <m:r>
          <w:rPr>
            <w:rFonts w:ascii="Cambria Math" w:hAnsi="Times New Roman" w:cs="Times New Roman"/>
            <w:noProof/>
            <w:sz w:val="24"/>
            <w:szCs w:val="24"/>
          </w:rPr>
          <m:t>,i+</m:t>
        </m:r>
        <m:func>
          <m:funcPr>
            <m:ctrlPr>
              <w:rPr>
                <w:rFonts w:ascii="Cambria Math" w:hAnsi="Times New Roman" w:cs="Times New Roman"/>
                <w:i/>
                <w:noProof/>
                <w:sz w:val="24"/>
                <w:szCs w:val="24"/>
              </w:rPr>
            </m:ctrlPr>
          </m:funcPr>
          <m:fName>
            <m:r>
              <w:rPr>
                <w:rFonts w:ascii="Cambria Math" w:hAnsi="Times New Roman" w:cs="Times New Roman"/>
                <w:noProof/>
                <w:sz w:val="24"/>
                <w:szCs w:val="24"/>
              </w:rPr>
              <m:t>ln</m:t>
            </m:r>
          </m:fName>
          <m:e>
            <m:r>
              <w:rPr>
                <w:rFonts w:ascii="Cambria Math" w:hAnsi="Times New Roman" w:cs="Times New Roman"/>
                <w:noProof/>
                <w:sz w:val="24"/>
                <w:szCs w:val="24"/>
              </w:rPr>
              <m:t>(</m:t>
            </m:r>
          </m:e>
        </m:func>
        <m:sSub>
          <m:sSubPr>
            <m:ctrlPr>
              <w:rPr>
                <w:rFonts w:ascii="Cambria Math" w:hAnsi="Times New Roman" w:cs="Times New Roman"/>
                <w:i/>
                <w:noProof/>
                <w:sz w:val="24"/>
                <w:szCs w:val="24"/>
              </w:rPr>
            </m:ctrlPr>
          </m:sSubPr>
          <m:e>
            <m:r>
              <w:rPr>
                <w:rFonts w:ascii="Cambria Math" w:hAnsi="Times New Roman" w:cs="Times New Roman"/>
                <w:noProof/>
                <w:sz w:val="24"/>
                <w:szCs w:val="24"/>
              </w:rPr>
              <m:t>ε</m:t>
            </m:r>
          </m:e>
          <m:sub>
            <m:r>
              <w:rPr>
                <w:rFonts w:ascii="Cambria Math" w:hAnsi="Times New Roman" w:cs="Times New Roman"/>
                <w:noProof/>
                <w:sz w:val="24"/>
                <w:szCs w:val="24"/>
              </w:rPr>
              <m:t>i,t</m:t>
            </m:r>
          </m:sub>
        </m:sSub>
        <m:r>
          <w:rPr>
            <w:rFonts w:ascii="Cambria Math" w:hAnsi="Times New Roman" w:cs="Times New Roman"/>
            <w:noProof/>
            <w:sz w:val="24"/>
            <w:szCs w:val="24"/>
          </w:rPr>
          <m:t>)</m:t>
        </m:r>
      </m:oMath>
    </w:p>
    <w:p w14:paraId="59487641" w14:textId="7792A765" w:rsidR="002D57FC" w:rsidRDefault="002D57FC" w:rsidP="002D57FC">
      <w:pPr>
        <w:spacing w:after="120" w:line="360" w:lineRule="auto"/>
        <w:jc w:val="both"/>
        <w:rPr>
          <w:noProof/>
        </w:rPr>
      </w:pPr>
      <w:r>
        <w:rPr>
          <w:rFonts w:ascii="Times New Roman" w:hAnsi="Times New Roman" w:cs="Times New Roman"/>
          <w:sz w:val="24"/>
          <w:szCs w:val="24"/>
        </w:rPr>
        <w:t>This work should be straightforward, collecting the data and running the regressions in a focused day, which gives us ‘innovative results’ that we can present but frankly won’t be interesting. I want to do this exercise to get used to collaborating on analysis, get something to present to seminars for feedback, and also get immersed in the literature.</w:t>
      </w:r>
    </w:p>
    <w:p w14:paraId="3B9181DF" w14:textId="502CC474" w:rsidR="002F4922" w:rsidRPr="00602A02" w:rsidRDefault="002F4922" w:rsidP="00207140">
      <w:pPr>
        <w:widowControl w:val="0"/>
        <w:spacing w:after="120" w:line="36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Repository of great data: </w:t>
      </w:r>
      <w:hyperlink r:id="rId11" w:history="1">
        <w:r w:rsidRPr="002B69A5">
          <w:rPr>
            <w:rStyle w:val="Hyperlink"/>
            <w:rFonts w:ascii="Times New Roman" w:hAnsi="Times New Roman" w:cs="Times New Roman"/>
            <w:bCs/>
            <w:sz w:val="24"/>
            <w:szCs w:val="24"/>
          </w:rPr>
          <w:t>http://www.cepii.fr/CEPII/en/bdd_modele/presentation.asp?id=8</w:t>
        </w:r>
      </w:hyperlink>
      <w:r>
        <w:rPr>
          <w:rFonts w:ascii="Times New Roman" w:hAnsi="Times New Roman" w:cs="Times New Roman"/>
          <w:bCs/>
          <w:sz w:val="24"/>
          <w:szCs w:val="24"/>
        </w:rPr>
        <w:br/>
      </w:r>
    </w:p>
    <w:p w14:paraId="583015B6" w14:textId="77777777" w:rsidR="00D630FD" w:rsidRPr="00602A02" w:rsidRDefault="00D630FD" w:rsidP="00207140">
      <w:pPr>
        <w:tabs>
          <w:tab w:val="left" w:pos="720"/>
        </w:tabs>
        <w:spacing w:after="120" w:line="360" w:lineRule="auto"/>
        <w:rPr>
          <w:rFonts w:ascii="Times New Roman" w:hAnsi="Times New Roman" w:cs="Times New Roman"/>
          <w:sz w:val="24"/>
          <w:szCs w:val="24"/>
        </w:rPr>
      </w:pPr>
    </w:p>
    <w:p w14:paraId="47BDCED1" w14:textId="609A9D0F" w:rsidR="008924DC" w:rsidRPr="00602A02" w:rsidRDefault="007276F2" w:rsidP="00207140">
      <w:pPr>
        <w:pStyle w:val="ListParagraph"/>
        <w:numPr>
          <w:ilvl w:val="0"/>
          <w:numId w:val="1"/>
        </w:numPr>
        <w:tabs>
          <w:tab w:val="left" w:pos="720"/>
        </w:tabs>
        <w:spacing w:after="120" w:line="360" w:lineRule="auto"/>
        <w:ind w:left="0" w:firstLine="0"/>
        <w:rPr>
          <w:rFonts w:ascii="Times New Roman" w:hAnsi="Times New Roman" w:cs="Times New Roman"/>
          <w:b/>
          <w:sz w:val="24"/>
          <w:szCs w:val="24"/>
        </w:rPr>
      </w:pPr>
      <w:r>
        <w:rPr>
          <w:rFonts w:ascii="Times New Roman" w:hAnsi="Times New Roman" w:cs="Times New Roman"/>
          <w:b/>
          <w:sz w:val="24"/>
          <w:szCs w:val="24"/>
        </w:rPr>
        <w:t>Poverty</w:t>
      </w:r>
      <w:r w:rsidR="008924DC" w:rsidRPr="00602A02">
        <w:rPr>
          <w:rFonts w:ascii="Times New Roman" w:hAnsi="Times New Roman" w:cs="Times New Roman"/>
          <w:b/>
          <w:sz w:val="24"/>
          <w:szCs w:val="24"/>
        </w:rPr>
        <w:t xml:space="preserve"> Framework</w:t>
      </w:r>
    </w:p>
    <w:p w14:paraId="74BE0FCB" w14:textId="77777777" w:rsidR="008F6020" w:rsidRDefault="00037BB8" w:rsidP="006A38F1">
      <w:pPr>
        <w:jc w:val="both"/>
        <w:rPr>
          <w:rFonts w:ascii="Times New Roman" w:hAnsi="Times New Roman" w:cs="Times New Roman"/>
          <w:sz w:val="24"/>
          <w:szCs w:val="24"/>
        </w:rPr>
      </w:pPr>
      <w:r w:rsidRPr="006A38F1">
        <w:rPr>
          <w:rFonts w:ascii="Times New Roman" w:hAnsi="Times New Roman" w:cs="Times New Roman"/>
          <w:sz w:val="24"/>
          <w:szCs w:val="24"/>
        </w:rPr>
        <w:tab/>
      </w:r>
    </w:p>
    <w:p w14:paraId="16A767B8" w14:textId="52EB7EA2" w:rsidR="008F6020" w:rsidRPr="008F6020" w:rsidRDefault="008F6020" w:rsidP="006A38F1">
      <w:pPr>
        <w:jc w:val="both"/>
        <w:rPr>
          <w:rFonts w:ascii="Times New Roman" w:hAnsi="Times New Roman" w:cs="Times New Roman"/>
          <w:i/>
          <w:iCs/>
          <w:sz w:val="24"/>
          <w:szCs w:val="24"/>
        </w:rPr>
      </w:pPr>
      <w:r>
        <w:rPr>
          <w:rFonts w:ascii="Times New Roman" w:hAnsi="Times New Roman" w:cs="Times New Roman"/>
          <w:i/>
          <w:iCs/>
          <w:sz w:val="24"/>
          <w:szCs w:val="24"/>
        </w:rPr>
        <w:t>(I’ll leave this in as current discussion, from an earlier paper that will likely remain un-completed. There are some decent ideas in here that can be fleshed out for our current purposes.)</w:t>
      </w:r>
      <w:bookmarkStart w:id="1" w:name="_GoBack"/>
      <w:bookmarkEnd w:id="1"/>
    </w:p>
    <w:p w14:paraId="57B410C0" w14:textId="3A70DBA7" w:rsidR="006A38F1" w:rsidRPr="006A38F1" w:rsidRDefault="006A38F1" w:rsidP="008F6020">
      <w:pPr>
        <w:ind w:firstLine="720"/>
        <w:jc w:val="both"/>
        <w:rPr>
          <w:rFonts w:ascii="Times New Roman" w:hAnsi="Times New Roman" w:cs="Times New Roman"/>
          <w:sz w:val="24"/>
          <w:szCs w:val="24"/>
        </w:rPr>
      </w:pPr>
      <w:r w:rsidRPr="006A38F1">
        <w:rPr>
          <w:rFonts w:ascii="Times New Roman" w:hAnsi="Times New Roman" w:cs="Times New Roman"/>
          <w:sz w:val="24"/>
          <w:szCs w:val="24"/>
        </w:rPr>
        <w:lastRenderedPageBreak/>
        <w:t>Kenya &amp; East Africa’s trade and resilience work is increasingly a target for foreign and domestic investment, particularly as the Government of Kenya (GOK) seeks to expand the country’s growth to improve rural standards of living. Inadequate business management and technical skills among enterprise personnel, as well as high input costs, further constrain enterprise growth and sector competitiveness.  A lack of modern value-adding technologies restricts high-value market opportunities that could drive improved production and quality among producers.  This, perhaps, represents an opportunity to facilitate additional linkages with U.S. businesses for equipment purchases.</w:t>
      </w:r>
    </w:p>
    <w:p w14:paraId="31F37403" w14:textId="77777777" w:rsidR="006A38F1" w:rsidRPr="006A38F1" w:rsidRDefault="006A38F1" w:rsidP="006A38F1">
      <w:pPr>
        <w:ind w:firstLine="720"/>
        <w:jc w:val="both"/>
        <w:rPr>
          <w:rFonts w:ascii="Times New Roman" w:hAnsi="Times New Roman" w:cs="Times New Roman"/>
          <w:color w:val="00000A"/>
          <w:sz w:val="24"/>
          <w:szCs w:val="24"/>
        </w:rPr>
      </w:pPr>
      <w:r w:rsidRPr="006A38F1">
        <w:rPr>
          <w:rFonts w:ascii="Times New Roman" w:hAnsi="Times New Roman" w:cs="Times New Roman"/>
          <w:color w:val="00000A"/>
          <w:sz w:val="24"/>
          <w:szCs w:val="24"/>
        </w:rPr>
        <w:t xml:space="preserve">Kenya &amp; East Africa’s fragmented production base of smallholder farmers creates its own supply chain challenges for agribusinesses seeking to deliver a steady stream of quality product to domestic or export markets. Enterprises struggle to secure reliable deliveries of fresh produce from farmers and must deal with irregular quality and varieties, leading to high transaction costs and reduced competitiveness of finished products. Producers typically sell their produce at harvest, at the farm gate, putting them in the role of “price takers” and perpetuating a lack of trust in value chain relationships. Low prices and lack of advisory services in turn discourage farmer investment in quality inputs and provide little incentive to adopt improved production practices. Accessing the neighboring markets presents additional challenges to deliver high quality fresh product. Delays at the border impede products being delivered to markets across East Africa in a steady and timely way which leads to great losses among entrepreneurs.  </w:t>
      </w:r>
    </w:p>
    <w:p w14:paraId="663D0CFB" w14:textId="77777777" w:rsidR="006A38F1" w:rsidRPr="006A38F1" w:rsidRDefault="006A38F1" w:rsidP="006A38F1">
      <w:pPr>
        <w:ind w:firstLine="720"/>
        <w:jc w:val="both"/>
        <w:rPr>
          <w:rFonts w:ascii="Times New Roman" w:hAnsi="Times New Roman" w:cs="Times New Roman"/>
          <w:color w:val="000000"/>
          <w:sz w:val="24"/>
          <w:szCs w:val="24"/>
        </w:rPr>
      </w:pPr>
      <w:bookmarkStart w:id="2" w:name="_30j0zll" w:colFirst="0" w:colLast="0"/>
      <w:bookmarkEnd w:id="2"/>
      <w:r w:rsidRPr="006A38F1">
        <w:rPr>
          <w:rFonts w:ascii="Times New Roman" w:hAnsi="Times New Roman" w:cs="Times New Roman"/>
          <w:color w:val="000000"/>
          <w:sz w:val="24"/>
          <w:szCs w:val="24"/>
        </w:rPr>
        <w:t xml:space="preserve">Regional trade plays a role in increasing the availability of diverse and nutritious foods for vulnerable households, including staples, horticulture, fruits and animal-based products, but the impact on malnutrition has been difficult to quantify. Strengthening regional linkages between producers and the growing numbers of urban consumers by addressing the market, infrastructure and policy constraints to the access and price volatility of agricultural products stabilizes incomes and generates money for rural producers that they can use to buy additional food and non-food items. </w:t>
      </w:r>
      <w:proofErr w:type="gramStart"/>
      <w:r w:rsidRPr="006A38F1">
        <w:rPr>
          <w:rFonts w:ascii="Times New Roman" w:hAnsi="Times New Roman" w:cs="Times New Roman"/>
          <w:color w:val="000000"/>
          <w:sz w:val="24"/>
          <w:szCs w:val="24"/>
        </w:rPr>
        <w:t>Additionally</w:t>
      </w:r>
      <w:proofErr w:type="gramEnd"/>
      <w:r w:rsidRPr="006A38F1">
        <w:rPr>
          <w:rFonts w:ascii="Times New Roman" w:hAnsi="Times New Roman" w:cs="Times New Roman"/>
          <w:color w:val="000000"/>
          <w:sz w:val="24"/>
          <w:szCs w:val="24"/>
        </w:rPr>
        <w:t xml:space="preserve"> reducing the time and cost for the cross-border trade of agricultural products addresses regional food security by allowing food to easily move from areas of surplus to deficit. The challenge in the East Africa is to find ways of leveraging the positive links between producers, processors, markets and consumers awareness to improve diet diversity, quality and food safety strengthening food security and addressing both acute and chronic malnutrition in the region.</w:t>
      </w:r>
    </w:p>
    <w:p w14:paraId="4F27DD83" w14:textId="77777777" w:rsidR="006A38F1" w:rsidRPr="006A38F1" w:rsidRDefault="006A38F1" w:rsidP="006A38F1">
      <w:pPr>
        <w:ind w:firstLine="720"/>
        <w:jc w:val="both"/>
        <w:rPr>
          <w:rFonts w:ascii="Times New Roman" w:hAnsi="Times New Roman" w:cs="Times New Roman"/>
          <w:color w:val="000000"/>
          <w:sz w:val="24"/>
          <w:szCs w:val="24"/>
        </w:rPr>
      </w:pPr>
      <w:r w:rsidRPr="006A38F1">
        <w:rPr>
          <w:rFonts w:ascii="Times New Roman" w:hAnsi="Times New Roman" w:cs="Times New Roman"/>
          <w:color w:val="000000"/>
          <w:sz w:val="24"/>
          <w:szCs w:val="24"/>
        </w:rPr>
        <w:t xml:space="preserve">In 2011 and 2017, extreme weather events led to drought conditions in Kenya and East Africa. The 2011 drought led a humanitarian crisis requiring $427.4m emergency funds, but the 2017 drought only required </w:t>
      </w:r>
      <w:r w:rsidRPr="006A38F1">
        <w:rPr>
          <w:rFonts w:ascii="Times New Roman" w:hAnsi="Times New Roman" w:cs="Times New Roman"/>
          <w:color w:val="000000"/>
          <w:sz w:val="24"/>
          <w:szCs w:val="24"/>
          <w:highlight w:val="yellow"/>
        </w:rPr>
        <w:t>$Y.</w:t>
      </w:r>
      <w:r w:rsidRPr="006A38F1">
        <w:rPr>
          <w:rFonts w:ascii="Times New Roman" w:hAnsi="Times New Roman" w:cs="Times New Roman"/>
          <w:color w:val="000000"/>
          <w:sz w:val="24"/>
          <w:szCs w:val="24"/>
        </w:rPr>
        <w:t xml:space="preserve"> Some of the averted assistance can be attributed to mitigated risk through intraregional trade, as resilient market systems have the capacity to effectively draw upon and allocate resources in the face of shocks and stresses in ways that maintain or improve the functioning of the market system and the wellbeing of its actors. The extent to which such impacts of trade can be quantified are yet to be determined.</w:t>
      </w:r>
    </w:p>
    <w:p w14:paraId="4769CCBF" w14:textId="77777777" w:rsidR="006A38F1" w:rsidRPr="006A38F1" w:rsidRDefault="006A38F1" w:rsidP="006A38F1">
      <w:pPr>
        <w:ind w:firstLine="720"/>
        <w:jc w:val="both"/>
        <w:rPr>
          <w:rFonts w:ascii="Times New Roman" w:hAnsi="Times New Roman" w:cs="Times New Roman"/>
          <w:color w:val="000000"/>
          <w:sz w:val="24"/>
          <w:szCs w:val="24"/>
        </w:rPr>
      </w:pPr>
      <w:r w:rsidRPr="006A38F1">
        <w:rPr>
          <w:rFonts w:ascii="Times New Roman" w:hAnsi="Times New Roman" w:cs="Times New Roman"/>
          <w:color w:val="000000"/>
          <w:sz w:val="24"/>
          <w:szCs w:val="24"/>
        </w:rPr>
        <w:lastRenderedPageBreak/>
        <w:t>Private sector led trade and investment approaches that contribute to market systems resilience might include those that support: connectivity among actors based on merit, performance, and equity, not just loyalty; business strategies that add rather than extract value to the system; decision making that considers various courses of action based on evidence; competition that promotes innovation and delivers value to customers; cooperation that benefits the overall systems in contrast to collusion that extracts value at the expense of others; or diversification characterized by variation and balance in different types of products, firm sizes and structure, and marketing channels. Building on the past achievements of USAID East Africa on gender and trade, addressing systemic gender biases through trans-border women trader associations, joint border committees that address sexual violence and theft issues, and one-stop border posts that reduce the time women and men take at border points can further strengthen the resilience of market systems.</w:t>
      </w:r>
    </w:p>
    <w:p w14:paraId="250129DC" w14:textId="77777777" w:rsidR="008924DC" w:rsidRPr="00602A02" w:rsidRDefault="008924DC" w:rsidP="00207140">
      <w:pPr>
        <w:pStyle w:val="ListParagraph"/>
        <w:numPr>
          <w:ilvl w:val="0"/>
          <w:numId w:val="1"/>
        </w:numPr>
        <w:tabs>
          <w:tab w:val="left" w:pos="720"/>
        </w:tabs>
        <w:spacing w:after="120" w:line="360" w:lineRule="auto"/>
        <w:ind w:left="0" w:firstLine="0"/>
        <w:rPr>
          <w:rFonts w:ascii="Times New Roman" w:hAnsi="Times New Roman" w:cs="Times New Roman"/>
          <w:b/>
          <w:sz w:val="24"/>
          <w:szCs w:val="24"/>
        </w:rPr>
      </w:pPr>
      <w:r w:rsidRPr="00602A02">
        <w:rPr>
          <w:rFonts w:ascii="Times New Roman" w:hAnsi="Times New Roman" w:cs="Times New Roman"/>
          <w:b/>
          <w:sz w:val="24"/>
          <w:szCs w:val="24"/>
        </w:rPr>
        <w:t>Conclusion</w:t>
      </w:r>
    </w:p>
    <w:p w14:paraId="38AF9E09" w14:textId="3432C7D0" w:rsidR="00D630FD" w:rsidRPr="00602A02" w:rsidRDefault="008F6020" w:rsidP="00207140">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TBD</w:t>
      </w:r>
    </w:p>
    <w:p w14:paraId="444E9330" w14:textId="77777777" w:rsidR="00541CA8" w:rsidRDefault="00541CA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15718310" w14:textId="77777777" w:rsidR="00F02A91" w:rsidRPr="00B90300" w:rsidRDefault="00541CA8" w:rsidP="00B90300">
      <w:pPr>
        <w:tabs>
          <w:tab w:val="left" w:pos="-180"/>
        </w:tabs>
        <w:spacing w:after="120" w:line="360" w:lineRule="auto"/>
        <w:ind w:left="720" w:hanging="720"/>
        <w:jc w:val="center"/>
        <w:rPr>
          <w:rFonts w:ascii="Times New Roman" w:hAnsi="Times New Roman" w:cs="Times New Roman"/>
          <w:b/>
          <w:color w:val="222222"/>
          <w:shd w:val="clear" w:color="auto" w:fill="FFFFFF"/>
        </w:rPr>
      </w:pPr>
      <w:r w:rsidRPr="00B90300">
        <w:rPr>
          <w:rFonts w:ascii="Times New Roman" w:hAnsi="Times New Roman" w:cs="Times New Roman"/>
          <w:color w:val="222222"/>
          <w:shd w:val="clear" w:color="auto" w:fill="FFFFFF"/>
        </w:rPr>
        <w:lastRenderedPageBreak/>
        <w:br/>
      </w:r>
      <w:r w:rsidRPr="00B90300">
        <w:rPr>
          <w:rFonts w:ascii="Times New Roman" w:hAnsi="Times New Roman" w:cs="Times New Roman"/>
          <w:b/>
          <w:color w:val="222222"/>
          <w:shd w:val="clear" w:color="auto" w:fill="FFFFFF"/>
        </w:rPr>
        <w:t>Works Cited</w:t>
      </w:r>
    </w:p>
    <w:p w14:paraId="3EBDC27F" w14:textId="77777777" w:rsidR="00541CA8" w:rsidRPr="00B90300" w:rsidRDefault="00541CA8" w:rsidP="00B90300">
      <w:pPr>
        <w:pStyle w:val="NormalWeb"/>
        <w:tabs>
          <w:tab w:val="left" w:pos="-180"/>
        </w:tabs>
        <w:spacing w:before="0" w:beforeAutospacing="0" w:after="0" w:afterAutospacing="0"/>
        <w:ind w:left="720" w:hanging="720"/>
        <w:rPr>
          <w:sz w:val="22"/>
          <w:szCs w:val="22"/>
        </w:rPr>
      </w:pPr>
      <w:r w:rsidRPr="00B90300">
        <w:rPr>
          <w:color w:val="000000"/>
          <w:sz w:val="22"/>
          <w:szCs w:val="22"/>
        </w:rPr>
        <w:t>http://www.ifpri.org/publication/regional-trade-and-volatility-staple-food-markets-africa</w:t>
      </w:r>
    </w:p>
    <w:p w14:paraId="10DB5922" w14:textId="77777777" w:rsidR="00541CA8" w:rsidRPr="00B90300" w:rsidRDefault="008F6020" w:rsidP="00B90300">
      <w:pPr>
        <w:tabs>
          <w:tab w:val="left" w:pos="-180"/>
        </w:tabs>
        <w:spacing w:line="360" w:lineRule="auto"/>
        <w:ind w:left="720" w:hanging="720"/>
        <w:rPr>
          <w:rFonts w:ascii="Times New Roman" w:hAnsi="Times New Roman" w:cs="Times New Roman"/>
          <w:color w:val="000000"/>
        </w:rPr>
      </w:pPr>
      <w:hyperlink r:id="rId12" w:history="1">
        <w:r w:rsidR="00541CA8" w:rsidRPr="00B90300">
          <w:rPr>
            <w:rStyle w:val="Hyperlink"/>
            <w:rFonts w:ascii="Times New Roman" w:hAnsi="Times New Roman" w:cs="Times New Roman"/>
          </w:rPr>
          <w:t>https://www.oecd.org/site/tadpd/41596934.pdf</w:t>
        </w:r>
      </w:hyperlink>
    </w:p>
    <w:p w14:paraId="49F71C68" w14:textId="77777777" w:rsidR="00541CA8" w:rsidRPr="00B90300" w:rsidRDefault="00541CA8" w:rsidP="00B90300">
      <w:pPr>
        <w:tabs>
          <w:tab w:val="left" w:pos="-180"/>
        </w:tabs>
        <w:spacing w:line="360" w:lineRule="auto"/>
        <w:ind w:left="720" w:hanging="720"/>
        <w:rPr>
          <w:rFonts w:ascii="Times New Roman" w:hAnsi="Times New Roman" w:cs="Times New Roman"/>
          <w:color w:val="000000"/>
        </w:rPr>
      </w:pPr>
      <w:proofErr w:type="spellStart"/>
      <w:r w:rsidRPr="00B90300">
        <w:rPr>
          <w:rFonts w:ascii="Times New Roman" w:hAnsi="Times New Roman" w:cs="Times New Roman"/>
          <w:color w:val="000000"/>
        </w:rPr>
        <w:t>Saera</w:t>
      </w:r>
      <w:proofErr w:type="spellEnd"/>
      <w:r w:rsidRPr="00B90300">
        <w:rPr>
          <w:rFonts w:ascii="Times New Roman" w:hAnsi="Times New Roman" w:cs="Times New Roman"/>
          <w:color w:val="000000"/>
        </w:rPr>
        <w:t xml:space="preserve"> </w:t>
      </w:r>
      <w:proofErr w:type="spellStart"/>
      <w:r w:rsidRPr="00B90300">
        <w:rPr>
          <w:rFonts w:ascii="Times New Roman" w:hAnsi="Times New Roman" w:cs="Times New Roman"/>
          <w:color w:val="000000"/>
        </w:rPr>
        <w:t>Oha</w:t>
      </w:r>
      <w:proofErr w:type="spellEnd"/>
      <w:r w:rsidRPr="00B90300">
        <w:rPr>
          <w:rFonts w:ascii="Times New Roman" w:hAnsi="Times New Roman" w:cs="Times New Roman"/>
          <w:color w:val="000000"/>
        </w:rPr>
        <w:t xml:space="preserve"> and Sang Hyeon Lee,</w:t>
      </w:r>
      <w:hyperlink r:id="rId13" w:history="1">
        <w:r w:rsidRPr="00B90300">
          <w:rPr>
            <w:rStyle w:val="Hyperlink"/>
            <w:rFonts w:ascii="Times New Roman" w:hAnsi="Times New Roman" w:cs="Times New Roman"/>
          </w:rPr>
          <w:t xml:space="preserve"> </w:t>
        </w:r>
        <w:r w:rsidRPr="00B90300">
          <w:rPr>
            <w:rStyle w:val="Hyperlink"/>
            <w:rFonts w:ascii="Times New Roman" w:hAnsi="Times New Roman" w:cs="Times New Roman"/>
            <w:i/>
            <w:iCs/>
          </w:rPr>
          <w:t xml:space="preserve">Does trade contribute to poverty reduction? If </w:t>
        </w:r>
        <w:r w:rsidR="00B90300" w:rsidRPr="00B90300">
          <w:rPr>
            <w:rStyle w:val="Hyperlink"/>
            <w:rFonts w:ascii="Times New Roman" w:hAnsi="Times New Roman" w:cs="Times New Roman"/>
            <w:i/>
            <w:iCs/>
          </w:rPr>
          <w:t>it does, where the benefit goes t</w:t>
        </w:r>
        <w:r w:rsidRPr="00B90300">
          <w:rPr>
            <w:rStyle w:val="Hyperlink"/>
            <w:rFonts w:ascii="Times New Roman" w:hAnsi="Times New Roman" w:cs="Times New Roman"/>
            <w:i/>
            <w:iCs/>
          </w:rPr>
          <w:t>o?</w:t>
        </w:r>
      </w:hyperlink>
    </w:p>
    <w:p w14:paraId="28099E52" w14:textId="77777777" w:rsidR="00541CA8" w:rsidRPr="00B90300" w:rsidRDefault="00541CA8" w:rsidP="00B90300">
      <w:pPr>
        <w:tabs>
          <w:tab w:val="left" w:pos="-180"/>
        </w:tabs>
        <w:spacing w:line="360" w:lineRule="auto"/>
        <w:ind w:left="720" w:hanging="720"/>
        <w:rPr>
          <w:rFonts w:ascii="Times New Roman" w:hAnsi="Times New Roman" w:cs="Times New Roman"/>
        </w:rPr>
      </w:pPr>
      <w:proofErr w:type="spellStart"/>
      <w:r w:rsidRPr="00B90300">
        <w:rPr>
          <w:rFonts w:ascii="Times New Roman" w:hAnsi="Times New Roman" w:cs="Times New Roman"/>
          <w:color w:val="000000"/>
        </w:rPr>
        <w:t>Maelan</w:t>
      </w:r>
      <w:proofErr w:type="spellEnd"/>
      <w:r w:rsidRPr="00B90300">
        <w:rPr>
          <w:rFonts w:ascii="Times New Roman" w:hAnsi="Times New Roman" w:cs="Times New Roman"/>
          <w:color w:val="000000"/>
        </w:rPr>
        <w:t xml:space="preserve"> Le Goff and Raju Jan Singh, </w:t>
      </w:r>
      <w:hyperlink r:id="rId14" w:history="1">
        <w:r w:rsidRPr="00B90300">
          <w:rPr>
            <w:rStyle w:val="Hyperlink"/>
            <w:rFonts w:ascii="Times New Roman" w:hAnsi="Times New Roman" w:cs="Times New Roman"/>
            <w:i/>
            <w:iCs/>
          </w:rPr>
          <w:t>Does trade reduce poverty? A view from Africa</w:t>
        </w:r>
      </w:hyperlink>
      <w:r w:rsidRPr="00B90300">
        <w:rPr>
          <w:rFonts w:ascii="Times New Roman" w:hAnsi="Times New Roman" w:cs="Times New Roman"/>
          <w:i/>
          <w:iCs/>
          <w:color w:val="000000"/>
        </w:rPr>
        <w:t xml:space="preserve"> </w:t>
      </w:r>
    </w:p>
    <w:p w14:paraId="140B6FC8" w14:textId="77777777" w:rsidR="004E31D5" w:rsidRPr="00B90300" w:rsidRDefault="00541CA8" w:rsidP="00B90300">
      <w:pPr>
        <w:tabs>
          <w:tab w:val="left" w:pos="-180"/>
        </w:tabs>
        <w:ind w:left="720" w:hanging="720"/>
        <w:contextualSpacing/>
        <w:rPr>
          <w:rFonts w:ascii="Times New Roman" w:hAnsi="Times New Roman" w:cs="Times New Roman"/>
        </w:rPr>
      </w:pPr>
      <w:r w:rsidRPr="00B90300">
        <w:rPr>
          <w:rFonts w:ascii="Times New Roman" w:hAnsi="Times New Roman" w:cs="Times New Roman"/>
        </w:rPr>
        <w:t>Head, Keith, and Thierry Mayer. 2013. Gravity equations: Workhorse, toolkit, and cookbook. Handbook of International Economics 4.</w:t>
      </w:r>
    </w:p>
    <w:p w14:paraId="15CC03C8" w14:textId="77777777" w:rsidR="00541CA8" w:rsidRPr="00B90300" w:rsidRDefault="008F6020" w:rsidP="00B90300">
      <w:pPr>
        <w:tabs>
          <w:tab w:val="left" w:pos="-180"/>
        </w:tabs>
        <w:ind w:left="720" w:hanging="720"/>
        <w:contextualSpacing/>
        <w:rPr>
          <w:rFonts w:ascii="Times New Roman" w:hAnsi="Times New Roman" w:cs="Times New Roman"/>
        </w:rPr>
      </w:pPr>
      <w:hyperlink r:id="rId15" w:history="1"/>
    </w:p>
    <w:p w14:paraId="4EB9C501"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proofErr w:type="spellStart"/>
      <w:r w:rsidRPr="00B90300">
        <w:rPr>
          <w:rFonts w:ascii="Times New Roman" w:hAnsi="Times New Roman" w:cs="Times New Roman"/>
        </w:rPr>
        <w:t>Trefler</w:t>
      </w:r>
      <w:proofErr w:type="spellEnd"/>
      <w:r w:rsidRPr="00B90300">
        <w:rPr>
          <w:rFonts w:ascii="Times New Roman" w:hAnsi="Times New Roman" w:cs="Times New Roman"/>
        </w:rPr>
        <w:t xml:space="preserve">, Daniel. 1995. The case of the missing trade and other mysteries. </w:t>
      </w:r>
      <w:r w:rsidRPr="00B90300">
        <w:rPr>
          <w:rFonts w:ascii="Times New Roman" w:hAnsi="Times New Roman" w:cs="Times New Roman"/>
          <w:i/>
        </w:rPr>
        <w:t xml:space="preserve">The American Economic Review </w:t>
      </w:r>
      <w:r w:rsidRPr="00B90300">
        <w:rPr>
          <w:rFonts w:ascii="Times New Roman" w:hAnsi="Times New Roman" w:cs="Times New Roman"/>
        </w:rPr>
        <w:t>85(5): 1029-1046.</w:t>
      </w:r>
    </w:p>
    <w:p w14:paraId="47C79DCA"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POROJAN, 2001, “Trade Flows and Spatial Effects: The Gravity Model Revisited”, Open Economies Review 12: 265-280 </w:t>
      </w:r>
    </w:p>
    <w:p w14:paraId="4FFD33D6"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Brun Jean-Francois, </w:t>
      </w:r>
      <w:proofErr w:type="spellStart"/>
      <w:r w:rsidRPr="00B90300">
        <w:rPr>
          <w:rFonts w:ascii="Times New Roman" w:hAnsi="Times New Roman" w:cs="Times New Roman"/>
        </w:rPr>
        <w:t>Ce´line</w:t>
      </w:r>
      <w:proofErr w:type="spellEnd"/>
      <w:r w:rsidRPr="00B90300">
        <w:rPr>
          <w:rFonts w:ascii="Times New Roman" w:hAnsi="Times New Roman" w:cs="Times New Roman"/>
        </w:rPr>
        <w:t xml:space="preserve"> </w:t>
      </w:r>
      <w:proofErr w:type="spellStart"/>
      <w:r w:rsidRPr="00B90300">
        <w:rPr>
          <w:rFonts w:ascii="Times New Roman" w:hAnsi="Times New Roman" w:cs="Times New Roman"/>
        </w:rPr>
        <w:t>Carre`re</w:t>
      </w:r>
      <w:proofErr w:type="spellEnd"/>
      <w:r w:rsidRPr="00B90300">
        <w:rPr>
          <w:rFonts w:ascii="Times New Roman" w:hAnsi="Times New Roman" w:cs="Times New Roman"/>
        </w:rPr>
        <w:t xml:space="preserve">, Patrick </w:t>
      </w:r>
      <w:proofErr w:type="spellStart"/>
      <w:r w:rsidRPr="00B90300">
        <w:rPr>
          <w:rFonts w:ascii="Times New Roman" w:hAnsi="Times New Roman" w:cs="Times New Roman"/>
        </w:rPr>
        <w:t>Guillaumont</w:t>
      </w:r>
      <w:proofErr w:type="spellEnd"/>
      <w:r w:rsidRPr="00B90300">
        <w:rPr>
          <w:rFonts w:ascii="Times New Roman" w:hAnsi="Times New Roman" w:cs="Times New Roman"/>
        </w:rPr>
        <w:t>, and Jaime de Melo, 2003, “Has Distance Died? Evidence from a Panel Gravity Model”, The World Bank Economic Review Vol. 19, No. 1, pp. 99-120.</w:t>
      </w:r>
    </w:p>
    <w:p w14:paraId="3FBA7055"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Claudia M. Buch, </w:t>
      </w:r>
      <w:proofErr w:type="spellStart"/>
      <w:r w:rsidRPr="00B90300">
        <w:rPr>
          <w:rFonts w:ascii="Times New Roman" w:hAnsi="Times New Roman" w:cs="Times New Roman"/>
        </w:rPr>
        <w:t>Jörn</w:t>
      </w:r>
      <w:proofErr w:type="spellEnd"/>
      <w:r w:rsidRPr="00B90300">
        <w:rPr>
          <w:rFonts w:ascii="Times New Roman" w:hAnsi="Times New Roman" w:cs="Times New Roman"/>
        </w:rPr>
        <w:t xml:space="preserve"> Kleinert, and Farid </w:t>
      </w:r>
      <w:proofErr w:type="spellStart"/>
      <w:r w:rsidRPr="00B90300">
        <w:rPr>
          <w:rFonts w:ascii="Times New Roman" w:hAnsi="Times New Roman" w:cs="Times New Roman"/>
        </w:rPr>
        <w:t>Toubal</w:t>
      </w:r>
      <w:proofErr w:type="spellEnd"/>
      <w:r w:rsidRPr="00B90300">
        <w:rPr>
          <w:rFonts w:ascii="Times New Roman" w:hAnsi="Times New Roman" w:cs="Times New Roman"/>
        </w:rPr>
        <w:t>, 2003, “The Distance Puzzle: On the Interpretation of the Distance Coefficient in Gravity Equations”, Kiel Working Paper No.1159.</w:t>
      </w:r>
    </w:p>
    <w:p w14:paraId="6E7453AE"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Egger Peter, 2000, “A note on the proper econometric specification of the gravity”.</w:t>
      </w:r>
    </w:p>
    <w:p w14:paraId="7FBB1C23"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Frankel Jeffrey, Ernesto Stein, </w:t>
      </w:r>
      <w:proofErr w:type="spellStart"/>
      <w:r w:rsidRPr="00B90300">
        <w:rPr>
          <w:rFonts w:ascii="Times New Roman" w:hAnsi="Times New Roman" w:cs="Times New Roman"/>
        </w:rPr>
        <w:t>Shangjin</w:t>
      </w:r>
      <w:proofErr w:type="spellEnd"/>
      <w:r w:rsidRPr="00B90300">
        <w:rPr>
          <w:rFonts w:ascii="Times New Roman" w:hAnsi="Times New Roman" w:cs="Times New Roman"/>
        </w:rPr>
        <w:t>-Wei, 1995, “Trading blocs and the Americas: The natural, the unnatural, and the super-natural”, Journal of Development Economics 47(1995): 61-95 equation”, Economics Letters 66(2000), 25-31.</w:t>
      </w:r>
    </w:p>
    <w:p w14:paraId="48337A81"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Grossman. Gene M, Elhanan </w:t>
      </w:r>
      <w:proofErr w:type="spellStart"/>
      <w:r w:rsidRPr="00B90300">
        <w:rPr>
          <w:rFonts w:ascii="Times New Roman" w:hAnsi="Times New Roman" w:cs="Times New Roman"/>
        </w:rPr>
        <w:t>Helpman</w:t>
      </w:r>
      <w:proofErr w:type="spellEnd"/>
      <w:r w:rsidRPr="00B90300">
        <w:rPr>
          <w:rFonts w:ascii="Times New Roman" w:hAnsi="Times New Roman" w:cs="Times New Roman"/>
        </w:rPr>
        <w:t xml:space="preserve">, 1995, “The Politics of Free-Trade Agreements”, The American Economic Review, Vol. 85, No. 4, 667-690. </w:t>
      </w:r>
    </w:p>
    <w:p w14:paraId="79EF7037"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Hausman, J. A., and E. Taylor. 1981. ‘‘Panel Data and Unobservable Individual Effects.’’ </w:t>
      </w:r>
      <w:proofErr w:type="spellStart"/>
      <w:r w:rsidRPr="00B90300">
        <w:rPr>
          <w:rFonts w:ascii="Times New Roman" w:hAnsi="Times New Roman" w:cs="Times New Roman"/>
        </w:rPr>
        <w:t>Econometrica</w:t>
      </w:r>
      <w:proofErr w:type="spellEnd"/>
      <w:r w:rsidRPr="00B90300">
        <w:rPr>
          <w:rFonts w:ascii="Times New Roman" w:hAnsi="Times New Roman" w:cs="Times New Roman"/>
        </w:rPr>
        <w:t xml:space="preserve"> 49 (6):1377–98. </w:t>
      </w:r>
    </w:p>
    <w:p w14:paraId="71B0E783" w14:textId="77777777" w:rsidR="004E31D5" w:rsidRPr="00B90300" w:rsidRDefault="004E31D5"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Keith Head, Thierry Mayer, John </w:t>
      </w:r>
      <w:proofErr w:type="spellStart"/>
      <w:r w:rsidRPr="00B90300">
        <w:rPr>
          <w:rFonts w:ascii="Times New Roman" w:hAnsi="Times New Roman" w:cs="Times New Roman"/>
        </w:rPr>
        <w:t>Ries</w:t>
      </w:r>
      <w:proofErr w:type="spellEnd"/>
      <w:r w:rsidRPr="00B90300">
        <w:rPr>
          <w:rFonts w:ascii="Times New Roman" w:hAnsi="Times New Roman" w:cs="Times New Roman"/>
        </w:rPr>
        <w:t>. The erosion of colonial trade linkages after independence. Journal of International Economics, Elsevier, 2011, 81 (1), pp.1-14.</w:t>
      </w:r>
    </w:p>
    <w:p w14:paraId="2AAE7E68"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proofErr w:type="spellStart"/>
      <w:r w:rsidRPr="00B90300">
        <w:rPr>
          <w:rFonts w:ascii="Times New Roman" w:hAnsi="Times New Roman" w:cs="Times New Roman"/>
        </w:rPr>
        <w:lastRenderedPageBreak/>
        <w:t>Leamer</w:t>
      </w:r>
      <w:proofErr w:type="spellEnd"/>
      <w:r w:rsidRPr="00B90300">
        <w:rPr>
          <w:rFonts w:ascii="Times New Roman" w:hAnsi="Times New Roman" w:cs="Times New Roman"/>
        </w:rPr>
        <w:t xml:space="preserve">, A. 1993. ‘‘The Commodity Composition of International Trade in Manufactures: An Empirical Analysis.’’ Oxford Economic Papers 26(3):350– 74. </w:t>
      </w:r>
    </w:p>
    <w:p w14:paraId="03343254"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proofErr w:type="spellStart"/>
      <w:r w:rsidRPr="00B90300">
        <w:rPr>
          <w:rFonts w:ascii="Times New Roman" w:hAnsi="Times New Roman" w:cs="Times New Roman"/>
        </w:rPr>
        <w:t>Limao</w:t>
      </w:r>
      <w:proofErr w:type="spellEnd"/>
      <w:r w:rsidRPr="00B90300">
        <w:rPr>
          <w:rFonts w:ascii="Times New Roman" w:hAnsi="Times New Roman" w:cs="Times New Roman"/>
        </w:rPr>
        <w:t xml:space="preserve">, N., and A. J. Venables. 2001. ‘‘Infrastructure, Geographical Disadvantage and Transport Costs.’’ World Bank Economic Review 15(3):451–79. </w:t>
      </w:r>
    </w:p>
    <w:p w14:paraId="047B6C21"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Obstfeld, M., and K. Rogoff. 2001. ‘‘The Six Major Puzzles in International Macroeconomics. Is There a Common Cause?’’ NBER Working Paper 7777. National Bureau of Economic Research, Cambridge, Mass.</w:t>
      </w:r>
    </w:p>
    <w:p w14:paraId="0DEFD688" w14:textId="77777777" w:rsidR="00541CA8" w:rsidRPr="00B90300" w:rsidRDefault="00541CA8" w:rsidP="00B90300">
      <w:pPr>
        <w:tabs>
          <w:tab w:val="left" w:pos="-180"/>
        </w:tabs>
        <w:spacing w:after="120" w:line="360" w:lineRule="auto"/>
        <w:ind w:left="720" w:hanging="720"/>
        <w:rPr>
          <w:rFonts w:ascii="Times New Roman" w:hAnsi="Times New Roman" w:cs="Times New Roman"/>
          <w:color w:val="222222"/>
          <w:shd w:val="clear" w:color="auto" w:fill="FFFFFF"/>
        </w:rPr>
      </w:pPr>
      <w:r w:rsidRPr="00B90300">
        <w:rPr>
          <w:rFonts w:ascii="Times New Roman" w:hAnsi="Times New Roman" w:cs="Times New Roman"/>
        </w:rPr>
        <w:t xml:space="preserve">Rose, J., and E. Van </w:t>
      </w:r>
      <w:proofErr w:type="spellStart"/>
      <w:r w:rsidRPr="00B90300">
        <w:rPr>
          <w:rFonts w:ascii="Times New Roman" w:hAnsi="Times New Roman" w:cs="Times New Roman"/>
        </w:rPr>
        <w:t>Wincoop</w:t>
      </w:r>
      <w:proofErr w:type="spellEnd"/>
      <w:r w:rsidRPr="00B90300">
        <w:rPr>
          <w:rFonts w:ascii="Times New Roman" w:hAnsi="Times New Roman" w:cs="Times New Roman"/>
        </w:rPr>
        <w:t>. 2001. ‘‘National Money as a Barrier to International Trade: The Real Case for Currency Union.’’ American Economic Review, Papers and Proceedings 91(2):386–90.</w:t>
      </w:r>
    </w:p>
    <w:sectPr w:rsidR="00541CA8" w:rsidRPr="00B90300" w:rsidSect="0032608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37E00" w14:textId="77777777" w:rsidR="00F21BC0" w:rsidRDefault="00F21BC0" w:rsidP="00326085">
      <w:pPr>
        <w:spacing w:after="0" w:line="240" w:lineRule="auto"/>
      </w:pPr>
      <w:r>
        <w:separator/>
      </w:r>
    </w:p>
  </w:endnote>
  <w:endnote w:type="continuationSeparator" w:id="0">
    <w:p w14:paraId="73CEB0EA" w14:textId="77777777" w:rsidR="00F21BC0" w:rsidRDefault="00F21BC0" w:rsidP="00326085">
      <w:pPr>
        <w:spacing w:after="0" w:line="240" w:lineRule="auto"/>
      </w:pPr>
      <w:r>
        <w:continuationSeparator/>
      </w:r>
    </w:p>
  </w:endnote>
  <w:endnote w:id="1">
    <w:p w14:paraId="150D8AFC" w14:textId="77777777" w:rsidR="003865B9" w:rsidRPr="00B42288" w:rsidRDefault="003865B9" w:rsidP="003865B9">
      <w:pPr>
        <w:pStyle w:val="EndnoteText"/>
        <w:rPr>
          <w:rFonts w:asciiTheme="majorHAnsi" w:hAnsiTheme="majorHAnsi" w:cstheme="majorBidi"/>
        </w:rPr>
      </w:pPr>
      <w:r w:rsidRPr="00B42288">
        <w:rPr>
          <w:rStyle w:val="EndnoteReference"/>
          <w:rFonts w:asciiTheme="majorHAnsi" w:hAnsiTheme="majorHAnsi" w:cstheme="majorBidi"/>
        </w:rPr>
        <w:endnoteRef/>
      </w:r>
      <w:r w:rsidRPr="00B42288">
        <w:rPr>
          <w:rFonts w:asciiTheme="majorHAnsi" w:hAnsiTheme="majorHAnsi" w:cstheme="majorBidi"/>
        </w:rPr>
        <w:t xml:space="preserve"> This designation contrasts with “FDI-oriented regions” in which investment has overtaken development as the primary source of external capital. FDI-oriented regions include East Asia, Latin America, and the former Soviet Union, where development aid has been drawing down heavily in the past decade and private investment has been increasing substantially. </w:t>
      </w:r>
    </w:p>
  </w:endnote>
  <w:endnote w:id="2">
    <w:p w14:paraId="4399B139" w14:textId="77777777" w:rsidR="003865B9" w:rsidRPr="00746263" w:rsidRDefault="003865B9" w:rsidP="003865B9">
      <w:pPr>
        <w:pStyle w:val="EndnoteText"/>
        <w:jc w:val="both"/>
        <w:rPr>
          <w:rFonts w:ascii="Times New Roman" w:hAnsi="Times New Roman" w:cs="Times New Roman"/>
        </w:rPr>
      </w:pPr>
      <w:r w:rsidRPr="00746263">
        <w:rPr>
          <w:rStyle w:val="EndnoteReference"/>
          <w:rFonts w:ascii="Times New Roman" w:hAnsi="Times New Roman" w:cs="Times New Roman"/>
        </w:rPr>
        <w:endnoteRef/>
      </w:r>
      <w:r w:rsidRPr="00746263">
        <w:rPr>
          <w:rFonts w:ascii="Times New Roman" w:hAnsi="Times New Roman" w:cs="Times New Roman"/>
        </w:rPr>
        <w:t xml:space="preserve"> Regarding total global FDI (not just those to developing countries), in</w:t>
      </w:r>
      <w:r w:rsidRPr="00746263">
        <w:rPr>
          <w:rFonts w:ascii="Times New Roman" w:eastAsia="Times New Roman" w:hAnsi="Times New Roman" w:cs="Times New Roman"/>
        </w:rPr>
        <w:t xml:space="preserve"> 1970, Africa received 6 percent of total global FDI, but these fell to around 1 percent for most of the 1980s and 1990s.</w:t>
      </w:r>
      <w:r w:rsidRPr="00746263">
        <w:rPr>
          <w:rFonts w:ascii="Times New Roman" w:hAnsi="Times New Roman" w:cs="Times New Roman"/>
        </w:rPr>
        <w:t xml:space="preserve"> Source: UNCTAD Stat. </w:t>
      </w:r>
      <w:hyperlink r:id="rId1" w:history="1">
        <w:r w:rsidRPr="00746263">
          <w:rPr>
            <w:rStyle w:val="Hyperlink"/>
            <w:rFonts w:ascii="Times New Roman" w:hAnsi="Times New Roman" w:cs="Times New Roman"/>
          </w:rPr>
          <w:t>http://unctad.org/en/Pages/Statistics.aspx</w:t>
        </w:r>
      </w:hyperlink>
    </w:p>
  </w:endnote>
  <w:endnote w:id="3">
    <w:p w14:paraId="7A30C313" w14:textId="77777777" w:rsidR="003865B9" w:rsidRPr="00746263" w:rsidRDefault="003865B9" w:rsidP="003865B9">
      <w:pPr>
        <w:jc w:val="both"/>
        <w:rPr>
          <w:rFonts w:ascii="Times New Roman" w:hAnsi="Times New Roman" w:cs="Times New Roman"/>
          <w:sz w:val="20"/>
          <w:szCs w:val="20"/>
        </w:rPr>
      </w:pPr>
      <w:r w:rsidRPr="00746263">
        <w:rPr>
          <w:rStyle w:val="EndnoteReference"/>
          <w:rFonts w:ascii="Times New Roman" w:hAnsi="Times New Roman" w:cs="Times New Roman"/>
          <w:sz w:val="20"/>
          <w:szCs w:val="20"/>
        </w:rPr>
        <w:endnoteRef/>
      </w:r>
      <w:r w:rsidRPr="00746263">
        <w:rPr>
          <w:rFonts w:ascii="Times New Roman" w:hAnsi="Times New Roman" w:cs="Times New Roman"/>
          <w:sz w:val="20"/>
          <w:szCs w:val="20"/>
        </w:rPr>
        <w:t xml:space="preserve"> Note that Asiedu (2002)’s measures infrastructure by the number of telephones per 1,000 people, which may no longer be a reliable indicator given changes in telecommunication technology. She points out that infrastructure might not be as relevant for resource-based FDI, which is common to sub-Saharan Africa.</w:t>
      </w:r>
    </w:p>
  </w:endnote>
  <w:endnote w:id="4">
    <w:p w14:paraId="3BB8BB45" w14:textId="77777777" w:rsidR="003865B9" w:rsidRPr="00746263" w:rsidRDefault="003865B9" w:rsidP="003865B9">
      <w:pPr>
        <w:jc w:val="both"/>
        <w:rPr>
          <w:rFonts w:ascii="Times New Roman" w:hAnsi="Times New Roman" w:cs="Times New Roman"/>
          <w:sz w:val="20"/>
          <w:szCs w:val="20"/>
        </w:rPr>
      </w:pPr>
      <w:r w:rsidRPr="00746263">
        <w:rPr>
          <w:rStyle w:val="EndnoteReference"/>
          <w:rFonts w:ascii="Times New Roman" w:hAnsi="Times New Roman" w:cs="Times New Roman"/>
          <w:sz w:val="20"/>
          <w:szCs w:val="20"/>
        </w:rPr>
        <w:endnoteRef/>
      </w:r>
      <w:r w:rsidRPr="00746263">
        <w:rPr>
          <w:rFonts w:ascii="Times New Roman" w:hAnsi="Times New Roman" w:cs="Times New Roman"/>
          <w:sz w:val="20"/>
          <w:szCs w:val="20"/>
        </w:rPr>
        <w:t xml:space="preserve"> Data according to WDI. These figures dipped slightly following the global recession.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88960"/>
      <w:docPartObj>
        <w:docPartGallery w:val="Page Numbers (Bottom of Page)"/>
        <w:docPartUnique/>
      </w:docPartObj>
    </w:sdtPr>
    <w:sdtEndPr>
      <w:rPr>
        <w:noProof/>
      </w:rPr>
    </w:sdtEndPr>
    <w:sdtContent>
      <w:p w14:paraId="731B486E" w14:textId="77777777" w:rsidR="00F21BC0" w:rsidRDefault="00F21BC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8B69FE4" w14:textId="77777777" w:rsidR="00F21BC0" w:rsidRDefault="00F21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08083" w14:textId="77777777" w:rsidR="00F21BC0" w:rsidRDefault="00F21BC0" w:rsidP="00326085">
      <w:pPr>
        <w:spacing w:after="0" w:line="240" w:lineRule="auto"/>
      </w:pPr>
      <w:r>
        <w:separator/>
      </w:r>
    </w:p>
  </w:footnote>
  <w:footnote w:type="continuationSeparator" w:id="0">
    <w:p w14:paraId="17C85F8E" w14:textId="77777777" w:rsidR="00F21BC0" w:rsidRDefault="00F21BC0" w:rsidP="00326085">
      <w:pPr>
        <w:spacing w:after="0" w:line="240" w:lineRule="auto"/>
      </w:pPr>
      <w:r>
        <w:continuationSeparator/>
      </w:r>
    </w:p>
  </w:footnote>
  <w:footnote w:id="1">
    <w:p w14:paraId="492F1884" w14:textId="77777777" w:rsidR="00F21BC0" w:rsidRPr="00CC5F96" w:rsidRDefault="00F21BC0" w:rsidP="00326085">
      <w:pPr>
        <w:pStyle w:val="FootnoteText"/>
        <w:rPr>
          <w:rFonts w:asciiTheme="majorHAnsi" w:hAnsiTheme="majorHAnsi"/>
        </w:rPr>
      </w:pPr>
      <w:r w:rsidRPr="00CC5F96">
        <w:rPr>
          <w:rStyle w:val="FootnoteReference"/>
          <w:rFonts w:asciiTheme="majorHAnsi" w:hAnsiTheme="majorHAnsi"/>
        </w:rPr>
        <w:footnoteRef/>
      </w:r>
      <w:r w:rsidRPr="00CC5F96">
        <w:rPr>
          <w:rFonts w:asciiTheme="majorHAnsi" w:hAnsiTheme="majorHAnsi"/>
        </w:rPr>
        <w:t xml:space="preserve"> This paper reflects the research and opinions of the author and does not reflect the views of the U.S. Agency for International Development</w:t>
      </w:r>
      <w:r>
        <w:rPr>
          <w:rFonts w:asciiTheme="majorHAnsi" w:hAnsiTheme="majorHAnsi"/>
        </w:rPr>
        <w:t xml:space="preserve">. </w:t>
      </w:r>
      <w:r w:rsidRPr="00CC5F96">
        <w:rPr>
          <w:rFonts w:asciiTheme="majorHAnsi" w:hAnsiTheme="majorHAnsi"/>
        </w:rPr>
        <w:t>Please do not cite or circulate without permission from the author.</w:t>
      </w:r>
    </w:p>
  </w:footnote>
  <w:footnote w:id="2">
    <w:p w14:paraId="2ECC5140" w14:textId="77777777" w:rsidR="00F21BC0" w:rsidRPr="005E3259" w:rsidRDefault="00F21BC0" w:rsidP="005E3259">
      <w:pPr>
        <w:spacing w:after="0" w:line="240" w:lineRule="auto"/>
        <w:rPr>
          <w:rFonts w:ascii="Times New Roman" w:eastAsia="Times New Roman" w:hAnsi="Times New Roman" w:cs="Times New Roman"/>
          <w:sz w:val="24"/>
          <w:szCs w:val="24"/>
        </w:rPr>
      </w:pPr>
      <w:r>
        <w:rPr>
          <w:rStyle w:val="FootnoteReference"/>
        </w:rPr>
        <w:footnoteRef/>
      </w:r>
      <w:r>
        <w:t xml:space="preserve"> </w:t>
      </w:r>
      <w:proofErr w:type="spellStart"/>
      <w:r w:rsidRPr="00A56FC7">
        <w:rPr>
          <w:rFonts w:ascii="Times New Roman" w:eastAsia="Times New Roman" w:hAnsi="Times New Roman" w:cs="Times New Roman"/>
          <w:color w:val="2F2A2B"/>
          <w:sz w:val="24"/>
          <w:szCs w:val="24"/>
        </w:rPr>
        <w:t>Ravallion</w:t>
      </w:r>
      <w:proofErr w:type="spellEnd"/>
      <w:r w:rsidRPr="00A56FC7">
        <w:rPr>
          <w:rFonts w:ascii="Times New Roman" w:eastAsia="Times New Roman" w:hAnsi="Times New Roman" w:cs="Times New Roman"/>
          <w:color w:val="2F2A2B"/>
          <w:sz w:val="24"/>
          <w:szCs w:val="24"/>
        </w:rPr>
        <w:t>, M (2006), “Looking Beyond Averages in the Trade and Poverty Debate</w:t>
      </w:r>
      <w:r>
        <w:rPr>
          <w:rFonts w:ascii="Times New Roman" w:eastAsia="Times New Roman" w:hAnsi="Times New Roman" w:cs="Times New Roman"/>
          <w:color w:val="2F2A2B"/>
          <w:sz w:val="24"/>
          <w:szCs w:val="24"/>
        </w:rPr>
        <w:t>.</w:t>
      </w:r>
      <w:r w:rsidRPr="00A56FC7">
        <w:rPr>
          <w:rFonts w:ascii="Times New Roman" w:eastAsia="Times New Roman" w:hAnsi="Times New Roman" w:cs="Times New Roman"/>
          <w:color w:val="2F2A2B"/>
          <w:sz w:val="24"/>
          <w:szCs w:val="24"/>
        </w:rPr>
        <w:t>”</w:t>
      </w:r>
      <w:r>
        <w:rPr>
          <w:rFonts w:ascii="Times New Roman" w:eastAsia="Times New Roman" w:hAnsi="Times New Roman" w:cs="Times New Roman"/>
          <w:color w:val="2F2A2B"/>
          <w:sz w:val="24"/>
          <w:szCs w:val="24"/>
        </w:rPr>
        <w:t xml:space="preserve"> </w:t>
      </w:r>
      <w:r w:rsidRPr="00602A02">
        <w:rPr>
          <w:rFonts w:ascii="Times New Roman" w:eastAsia="Times New Roman" w:hAnsi="Times New Roman" w:cs="Times New Roman"/>
          <w:i/>
          <w:iCs/>
          <w:color w:val="2F2A2B"/>
          <w:sz w:val="24"/>
          <w:szCs w:val="24"/>
        </w:rPr>
        <w:t>World Development</w:t>
      </w:r>
      <w:r w:rsidRPr="00602A02">
        <w:rPr>
          <w:rFonts w:ascii="Times New Roman" w:eastAsia="Times New Roman" w:hAnsi="Times New Roman" w:cs="Times New Roman"/>
          <w:color w:val="2F2A2B"/>
          <w:sz w:val="24"/>
          <w:szCs w:val="24"/>
        </w:rPr>
        <w:t>, vol.34, No. 4., pp. 1374-1392</w:t>
      </w:r>
      <w:r>
        <w:rPr>
          <w:rFonts w:ascii="Times New Roman" w:eastAsia="Times New Roman" w:hAnsi="Times New Roman" w:cs="Times New Roman"/>
          <w:color w:val="2F2A2B"/>
          <w:sz w:val="24"/>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B3EFE"/>
    <w:multiLevelType w:val="hybridMultilevel"/>
    <w:tmpl w:val="B5EE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6385C"/>
    <w:multiLevelType w:val="hybridMultilevel"/>
    <w:tmpl w:val="D31E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34FE8"/>
    <w:multiLevelType w:val="hybridMultilevel"/>
    <w:tmpl w:val="B1F80A4E"/>
    <w:lvl w:ilvl="0" w:tplc="6DB076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17795"/>
    <w:multiLevelType w:val="hybridMultilevel"/>
    <w:tmpl w:val="A28070EC"/>
    <w:lvl w:ilvl="0" w:tplc="C7AC8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35756"/>
    <w:multiLevelType w:val="hybridMultilevel"/>
    <w:tmpl w:val="6862E42A"/>
    <w:lvl w:ilvl="0" w:tplc="C7385986">
      <w:start w:val="1"/>
      <w:numFmt w:val="decimal"/>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7628E"/>
    <w:multiLevelType w:val="hybridMultilevel"/>
    <w:tmpl w:val="68200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D70B6"/>
    <w:multiLevelType w:val="hybridMultilevel"/>
    <w:tmpl w:val="30129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760C9"/>
    <w:multiLevelType w:val="hybridMultilevel"/>
    <w:tmpl w:val="E5021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B1E4E"/>
    <w:multiLevelType w:val="hybridMultilevel"/>
    <w:tmpl w:val="91B43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8"/>
  </w:num>
  <w:num w:numId="5">
    <w:abstractNumId w:val="6"/>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85"/>
    <w:rsid w:val="000335E4"/>
    <w:rsid w:val="00037BB8"/>
    <w:rsid w:val="000C1ACF"/>
    <w:rsid w:val="000E724F"/>
    <w:rsid w:val="00151D90"/>
    <w:rsid w:val="001938DD"/>
    <w:rsid w:val="00205248"/>
    <w:rsid w:val="00207140"/>
    <w:rsid w:val="00244A42"/>
    <w:rsid w:val="00273B2A"/>
    <w:rsid w:val="002D1C46"/>
    <w:rsid w:val="002D57FC"/>
    <w:rsid w:val="002F4922"/>
    <w:rsid w:val="00326085"/>
    <w:rsid w:val="00342609"/>
    <w:rsid w:val="003865B9"/>
    <w:rsid w:val="003B3022"/>
    <w:rsid w:val="003E72BB"/>
    <w:rsid w:val="0040617F"/>
    <w:rsid w:val="004A0D4B"/>
    <w:rsid w:val="004E31D5"/>
    <w:rsid w:val="00504ADC"/>
    <w:rsid w:val="00541CA8"/>
    <w:rsid w:val="005E0368"/>
    <w:rsid w:val="005E3259"/>
    <w:rsid w:val="00602A02"/>
    <w:rsid w:val="006A38F1"/>
    <w:rsid w:val="007276F2"/>
    <w:rsid w:val="00733A99"/>
    <w:rsid w:val="00793166"/>
    <w:rsid w:val="007B7A3C"/>
    <w:rsid w:val="00814E30"/>
    <w:rsid w:val="00831680"/>
    <w:rsid w:val="008924DC"/>
    <w:rsid w:val="008B441A"/>
    <w:rsid w:val="008C060E"/>
    <w:rsid w:val="008E4426"/>
    <w:rsid w:val="008F2105"/>
    <w:rsid w:val="008F6020"/>
    <w:rsid w:val="00903050"/>
    <w:rsid w:val="0091766D"/>
    <w:rsid w:val="009244BA"/>
    <w:rsid w:val="00932B5F"/>
    <w:rsid w:val="00955FB7"/>
    <w:rsid w:val="00A56FC7"/>
    <w:rsid w:val="00AF4A43"/>
    <w:rsid w:val="00B21F3D"/>
    <w:rsid w:val="00B90300"/>
    <w:rsid w:val="00BC43B8"/>
    <w:rsid w:val="00C23075"/>
    <w:rsid w:val="00C40130"/>
    <w:rsid w:val="00C642D4"/>
    <w:rsid w:val="00CC7E93"/>
    <w:rsid w:val="00CF3321"/>
    <w:rsid w:val="00D0609A"/>
    <w:rsid w:val="00D53399"/>
    <w:rsid w:val="00D630FD"/>
    <w:rsid w:val="00D902D1"/>
    <w:rsid w:val="00DF2AB8"/>
    <w:rsid w:val="00E32189"/>
    <w:rsid w:val="00EA21A1"/>
    <w:rsid w:val="00EC019E"/>
    <w:rsid w:val="00EC08F7"/>
    <w:rsid w:val="00EE1D4B"/>
    <w:rsid w:val="00EF4F7A"/>
    <w:rsid w:val="00F017B4"/>
    <w:rsid w:val="00F02A91"/>
    <w:rsid w:val="00F21BC0"/>
    <w:rsid w:val="00F2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526B68"/>
  <w15:docId w15:val="{5DF5CF66-9C7D-42DC-AC75-117C44A9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085"/>
    <w:rPr>
      <w:color w:val="0000FF" w:themeColor="hyperlink"/>
      <w:u w:val="single"/>
    </w:rPr>
  </w:style>
  <w:style w:type="paragraph" w:styleId="FootnoteText">
    <w:name w:val="footnote text"/>
    <w:basedOn w:val="Normal"/>
    <w:link w:val="FootnoteTextChar"/>
    <w:uiPriority w:val="99"/>
    <w:unhideWhenUsed/>
    <w:rsid w:val="00326085"/>
    <w:pPr>
      <w:spacing w:after="0" w:line="240" w:lineRule="auto"/>
    </w:pPr>
    <w:rPr>
      <w:sz w:val="20"/>
      <w:szCs w:val="20"/>
    </w:rPr>
  </w:style>
  <w:style w:type="character" w:customStyle="1" w:styleId="FootnoteTextChar">
    <w:name w:val="Footnote Text Char"/>
    <w:basedOn w:val="DefaultParagraphFont"/>
    <w:link w:val="FootnoteText"/>
    <w:uiPriority w:val="99"/>
    <w:rsid w:val="00326085"/>
    <w:rPr>
      <w:rFonts w:eastAsiaTheme="minorEastAsia"/>
      <w:sz w:val="20"/>
      <w:szCs w:val="20"/>
    </w:rPr>
  </w:style>
  <w:style w:type="character" w:styleId="FootnoteReference">
    <w:name w:val="footnote reference"/>
    <w:aliases w:val="ftref"/>
    <w:basedOn w:val="DefaultParagraphFont"/>
    <w:uiPriority w:val="99"/>
    <w:unhideWhenUsed/>
    <w:rsid w:val="00326085"/>
    <w:rPr>
      <w:vertAlign w:val="superscript"/>
    </w:rPr>
  </w:style>
  <w:style w:type="paragraph" w:styleId="ListParagraph">
    <w:name w:val="List Paragraph"/>
    <w:basedOn w:val="Normal"/>
    <w:uiPriority w:val="34"/>
    <w:qFormat/>
    <w:rsid w:val="00326085"/>
    <w:pPr>
      <w:spacing w:after="160" w:line="259" w:lineRule="auto"/>
      <w:ind w:left="720"/>
      <w:contextualSpacing/>
    </w:pPr>
  </w:style>
  <w:style w:type="paragraph" w:styleId="Header">
    <w:name w:val="header"/>
    <w:basedOn w:val="Normal"/>
    <w:link w:val="HeaderChar"/>
    <w:uiPriority w:val="99"/>
    <w:unhideWhenUsed/>
    <w:rsid w:val="00326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85"/>
    <w:rPr>
      <w:rFonts w:eastAsiaTheme="minorEastAsia"/>
    </w:rPr>
  </w:style>
  <w:style w:type="paragraph" w:styleId="Footer">
    <w:name w:val="footer"/>
    <w:basedOn w:val="Normal"/>
    <w:link w:val="FooterChar"/>
    <w:uiPriority w:val="99"/>
    <w:unhideWhenUsed/>
    <w:rsid w:val="00326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85"/>
    <w:rPr>
      <w:rFonts w:eastAsiaTheme="minorEastAsia"/>
    </w:rPr>
  </w:style>
  <w:style w:type="paragraph" w:styleId="BalloonText">
    <w:name w:val="Balloon Text"/>
    <w:basedOn w:val="Normal"/>
    <w:link w:val="BalloonTextChar"/>
    <w:uiPriority w:val="99"/>
    <w:semiHidden/>
    <w:unhideWhenUsed/>
    <w:rsid w:val="00F01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7B4"/>
    <w:rPr>
      <w:rFonts w:ascii="Tahoma" w:eastAsiaTheme="minorEastAsia" w:hAnsi="Tahoma" w:cs="Tahoma"/>
      <w:sz w:val="16"/>
      <w:szCs w:val="16"/>
    </w:rPr>
  </w:style>
  <w:style w:type="paragraph" w:styleId="NormalWeb">
    <w:name w:val="Normal (Web)"/>
    <w:basedOn w:val="Normal"/>
    <w:uiPriority w:val="99"/>
    <w:semiHidden/>
    <w:unhideWhenUsed/>
    <w:rsid w:val="00A56FC7"/>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1">
    <w:name w:val="Light Shading Accent 1"/>
    <w:basedOn w:val="TableNormal"/>
    <w:uiPriority w:val="60"/>
    <w:rsid w:val="00C401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C40130"/>
    <w:pPr>
      <w:spacing w:line="240" w:lineRule="auto"/>
    </w:pPr>
    <w:rPr>
      <w:rFonts w:ascii="Times New Roman" w:eastAsia="Times New Roman" w:hAnsi="Times New Roman" w:cs="Times New Roman"/>
      <w:i/>
      <w:iCs/>
      <w:color w:val="1F497D" w:themeColor="text2"/>
      <w:sz w:val="18"/>
      <w:szCs w:val="18"/>
    </w:rPr>
  </w:style>
  <w:style w:type="table" w:styleId="LightShading-Accent3">
    <w:name w:val="Light Shading Accent 3"/>
    <w:basedOn w:val="TableNormal"/>
    <w:uiPriority w:val="60"/>
    <w:rsid w:val="00C4013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E32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91766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2D1C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4">
    <w:name w:val="Light Shading Accent 4"/>
    <w:basedOn w:val="TableNormal"/>
    <w:uiPriority w:val="60"/>
    <w:rsid w:val="00AF4A4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2F4922"/>
    <w:rPr>
      <w:color w:val="800080" w:themeColor="followedHyperlink"/>
      <w:u w:val="single"/>
    </w:rPr>
  </w:style>
  <w:style w:type="character" w:styleId="UnresolvedMention">
    <w:name w:val="Unresolved Mention"/>
    <w:basedOn w:val="DefaultParagraphFont"/>
    <w:uiPriority w:val="99"/>
    <w:semiHidden/>
    <w:unhideWhenUsed/>
    <w:rsid w:val="007276F2"/>
    <w:rPr>
      <w:color w:val="605E5C"/>
      <w:shd w:val="clear" w:color="auto" w:fill="E1DFDD"/>
    </w:rPr>
  </w:style>
  <w:style w:type="paragraph" w:styleId="EndnoteText">
    <w:name w:val="endnote text"/>
    <w:basedOn w:val="Normal"/>
    <w:link w:val="EndnoteTextChar"/>
    <w:rsid w:val="003865B9"/>
    <w:pPr>
      <w:spacing w:after="0" w:line="240" w:lineRule="auto"/>
    </w:pPr>
    <w:rPr>
      <w:rFonts w:ascii="Arial" w:eastAsia="Arial" w:hAnsi="Arial" w:cs="Arial"/>
      <w:color w:val="000000"/>
      <w:sz w:val="20"/>
      <w:szCs w:val="20"/>
    </w:rPr>
  </w:style>
  <w:style w:type="character" w:customStyle="1" w:styleId="EndnoteTextChar">
    <w:name w:val="Endnote Text Char"/>
    <w:basedOn w:val="DefaultParagraphFont"/>
    <w:link w:val="EndnoteText"/>
    <w:rsid w:val="003865B9"/>
    <w:rPr>
      <w:rFonts w:ascii="Arial" w:eastAsia="Arial" w:hAnsi="Arial" w:cs="Arial"/>
      <w:color w:val="000000"/>
      <w:sz w:val="20"/>
      <w:szCs w:val="20"/>
    </w:rPr>
  </w:style>
  <w:style w:type="character" w:styleId="EndnoteReference">
    <w:name w:val="endnote reference"/>
    <w:basedOn w:val="DefaultParagraphFont"/>
    <w:rsid w:val="003865B9"/>
    <w:rPr>
      <w:vertAlign w:val="superscript"/>
    </w:rPr>
  </w:style>
  <w:style w:type="character" w:styleId="PlaceholderText">
    <w:name w:val="Placeholder Text"/>
    <w:basedOn w:val="DefaultParagraphFont"/>
    <w:uiPriority w:val="99"/>
    <w:semiHidden/>
    <w:rsid w:val="002D57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9351">
      <w:bodyDiv w:val="1"/>
      <w:marLeft w:val="0"/>
      <w:marRight w:val="0"/>
      <w:marTop w:val="0"/>
      <w:marBottom w:val="0"/>
      <w:divBdr>
        <w:top w:val="none" w:sz="0" w:space="0" w:color="auto"/>
        <w:left w:val="none" w:sz="0" w:space="0" w:color="auto"/>
        <w:bottom w:val="none" w:sz="0" w:space="0" w:color="auto"/>
        <w:right w:val="none" w:sz="0" w:space="0" w:color="auto"/>
      </w:divBdr>
    </w:div>
    <w:div w:id="530000634">
      <w:bodyDiv w:val="1"/>
      <w:marLeft w:val="0"/>
      <w:marRight w:val="0"/>
      <w:marTop w:val="0"/>
      <w:marBottom w:val="0"/>
      <w:divBdr>
        <w:top w:val="none" w:sz="0" w:space="0" w:color="auto"/>
        <w:left w:val="none" w:sz="0" w:space="0" w:color="auto"/>
        <w:bottom w:val="none" w:sz="0" w:space="0" w:color="auto"/>
        <w:right w:val="none" w:sz="0" w:space="0" w:color="auto"/>
      </w:divBdr>
    </w:div>
    <w:div w:id="719939648">
      <w:bodyDiv w:val="1"/>
      <w:marLeft w:val="0"/>
      <w:marRight w:val="0"/>
      <w:marTop w:val="0"/>
      <w:marBottom w:val="0"/>
      <w:divBdr>
        <w:top w:val="none" w:sz="0" w:space="0" w:color="auto"/>
        <w:left w:val="none" w:sz="0" w:space="0" w:color="auto"/>
        <w:bottom w:val="none" w:sz="0" w:space="0" w:color="auto"/>
        <w:right w:val="none" w:sz="0" w:space="0" w:color="auto"/>
      </w:divBdr>
    </w:div>
    <w:div w:id="1082333089">
      <w:bodyDiv w:val="1"/>
      <w:marLeft w:val="0"/>
      <w:marRight w:val="0"/>
      <w:marTop w:val="0"/>
      <w:marBottom w:val="0"/>
      <w:divBdr>
        <w:top w:val="none" w:sz="0" w:space="0" w:color="auto"/>
        <w:left w:val="none" w:sz="0" w:space="0" w:color="auto"/>
        <w:bottom w:val="none" w:sz="0" w:space="0" w:color="auto"/>
        <w:right w:val="none" w:sz="0" w:space="0" w:color="auto"/>
      </w:divBdr>
    </w:div>
    <w:div w:id="1529025489">
      <w:bodyDiv w:val="1"/>
      <w:marLeft w:val="0"/>
      <w:marRight w:val="0"/>
      <w:marTop w:val="0"/>
      <w:marBottom w:val="0"/>
      <w:divBdr>
        <w:top w:val="none" w:sz="0" w:space="0" w:color="auto"/>
        <w:left w:val="none" w:sz="0" w:space="0" w:color="auto"/>
        <w:bottom w:val="none" w:sz="0" w:space="0" w:color="auto"/>
        <w:right w:val="none" w:sz="0" w:space="0" w:color="auto"/>
      </w:divBdr>
    </w:div>
    <w:div w:id="18665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icholson@usaid.gov" TargetMode="External"/><Relationship Id="rId13" Type="http://schemas.openxmlformats.org/officeDocument/2006/relationships/hyperlink" Target="https://ageconsearch.umn.edu/record/252849/files/Does%20trade%20contribute%20to%20poverty%20reduction_%20If%20it%20does%20where%20the%20benefit%20goes%20to_saera_final%20draft_sub.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ecd.org/site/tadpd/4159693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pii.fr/CEPII/en/bdd_modele/presentation.asp?id=8" TargetMode="External"/><Relationship Id="rId5" Type="http://schemas.openxmlformats.org/officeDocument/2006/relationships/webSettings" Target="webSettings.xml"/><Relationship Id="rId15" Type="http://schemas.openxmlformats.org/officeDocument/2006/relationships/hyperlink" Target="https://books.google.com/books?hl=en&amp;lr=&amp;id=zYgpAgAAQBAJ&amp;oi=fnd&amp;pg=PA131&amp;ots=poymn6Jw4g&amp;sig=ecZ6IsstGSlmEFi1NfcDpxlFCFg"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ve.Kritzberg@gmail.com" TargetMode="External"/><Relationship Id="rId14" Type="http://schemas.openxmlformats.org/officeDocument/2006/relationships/hyperlink" Target="https://www.sciencedirect.com/science/article/pii/S2214851514000024"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unctad.org/en/Pages/Statistics.aspx"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2012%20WEAI\Nicholson%20&amp;%20Lane\ODA_FDI%20share%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Sheet2!$B$2</c:f>
              <c:strCache>
                <c:ptCount val="1"/>
                <c:pt idx="0">
                  <c:v>FDI</c:v>
                </c:pt>
              </c:strCache>
            </c:strRef>
          </c:tx>
          <c:marker>
            <c:symbol val="none"/>
          </c:marker>
          <c:cat>
            <c:strRef>
              <c:f>Sheet2!$A$3:$A$42</c:f>
              <c:strCache>
                <c:ptCount val="4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strCache>
            </c:strRef>
          </c:cat>
          <c:val>
            <c:numRef>
              <c:f>Sheet2!$B$3:$B$42</c:f>
              <c:numCache>
                <c:formatCode>_(* #,##0.00_);_(* \(#,##0.00\);_(* "-"??_);_(@_)</c:formatCode>
                <c:ptCount val="40"/>
                <c:pt idx="0">
                  <c:v>706.57598759930352</c:v>
                </c:pt>
                <c:pt idx="1">
                  <c:v>595.47202339439946</c:v>
                </c:pt>
                <c:pt idx="2">
                  <c:v>573.57602968579749</c:v>
                </c:pt>
                <c:pt idx="3">
                  <c:v>654.44302518029747</c:v>
                </c:pt>
                <c:pt idx="4">
                  <c:v>1200.0718503785897</c:v>
                </c:pt>
                <c:pt idx="5">
                  <c:v>1049.3463925459098</c:v>
                </c:pt>
                <c:pt idx="6">
                  <c:v>928.12720634476739</c:v>
                </c:pt>
                <c:pt idx="7">
                  <c:v>811.49541619878642</c:v>
                </c:pt>
                <c:pt idx="8">
                  <c:v>916.49158079133849</c:v>
                </c:pt>
                <c:pt idx="9">
                  <c:v>774.40580261464152</c:v>
                </c:pt>
                <c:pt idx="10">
                  <c:v>251.66707256575052</c:v>
                </c:pt>
                <c:pt idx="11">
                  <c:v>1536.9407883071301</c:v>
                </c:pt>
                <c:pt idx="12">
                  <c:v>1493.0770350930504</c:v>
                </c:pt>
                <c:pt idx="13">
                  <c:v>898.10252362820529</c:v>
                </c:pt>
                <c:pt idx="14">
                  <c:v>969.06193795865454</c:v>
                </c:pt>
                <c:pt idx="15">
                  <c:v>964.2320500865851</c:v>
                </c:pt>
                <c:pt idx="16">
                  <c:v>623.52960438291746</c:v>
                </c:pt>
                <c:pt idx="17">
                  <c:v>1361.8327787115659</c:v>
                </c:pt>
                <c:pt idx="18">
                  <c:v>1535.784639018809</c:v>
                </c:pt>
                <c:pt idx="19">
                  <c:v>3034.9463170975537</c:v>
                </c:pt>
                <c:pt idx="20">
                  <c:v>1216.4131006749858</c:v>
                </c:pt>
                <c:pt idx="21">
                  <c:v>2160.7854980643497</c:v>
                </c:pt>
                <c:pt idx="22">
                  <c:v>1628.5028553779714</c:v>
                </c:pt>
                <c:pt idx="23">
                  <c:v>2517.1330007680667</c:v>
                </c:pt>
                <c:pt idx="24">
                  <c:v>3508.2735410075402</c:v>
                </c:pt>
                <c:pt idx="25">
                  <c:v>4411.4484083928137</c:v>
                </c:pt>
                <c:pt idx="26">
                  <c:v>4118.3854272758754</c:v>
                </c:pt>
                <c:pt idx="27">
                  <c:v>8500.9334250558586</c:v>
                </c:pt>
                <c:pt idx="28">
                  <c:v>6881.6203070470074</c:v>
                </c:pt>
                <c:pt idx="29">
                  <c:v>8948.84818502899</c:v>
                </c:pt>
                <c:pt idx="30">
                  <c:v>6662.1782881722047</c:v>
                </c:pt>
                <c:pt idx="31">
                  <c:v>14148.894613779847</c:v>
                </c:pt>
                <c:pt idx="32">
                  <c:v>10865.507434902947</c:v>
                </c:pt>
                <c:pt idx="33">
                  <c:v>13303.252076335853</c:v>
                </c:pt>
                <c:pt idx="34">
                  <c:v>11074.631337100574</c:v>
                </c:pt>
                <c:pt idx="35">
                  <c:v>18138.217718973356</c:v>
                </c:pt>
                <c:pt idx="36">
                  <c:v>20186.012366946608</c:v>
                </c:pt>
                <c:pt idx="37">
                  <c:v>28734.424964373255</c:v>
                </c:pt>
                <c:pt idx="38">
                  <c:v>36805.770818897232</c:v>
                </c:pt>
                <c:pt idx="39">
                  <c:v>29095.700898319461</c:v>
                </c:pt>
              </c:numCache>
            </c:numRef>
          </c:val>
          <c:smooth val="0"/>
          <c:extLst>
            <c:ext xmlns:c16="http://schemas.microsoft.com/office/drawing/2014/chart" uri="{C3380CC4-5D6E-409C-BE32-E72D297353CC}">
              <c16:uniqueId val="{00000000-8949-418C-99EF-F50B2EF7D068}"/>
            </c:ext>
          </c:extLst>
        </c:ser>
        <c:ser>
          <c:idx val="1"/>
          <c:order val="1"/>
          <c:tx>
            <c:strRef>
              <c:f>Sheet2!$C$2</c:f>
              <c:strCache>
                <c:ptCount val="1"/>
                <c:pt idx="0">
                  <c:v>ODA</c:v>
                </c:pt>
              </c:strCache>
            </c:strRef>
          </c:tx>
          <c:marker>
            <c:symbol val="none"/>
          </c:marker>
          <c:cat>
            <c:strRef>
              <c:f>Sheet2!$A$3:$A$42</c:f>
              <c:strCache>
                <c:ptCount val="4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strCache>
            </c:strRef>
          </c:cat>
          <c:val>
            <c:numRef>
              <c:f>Sheet2!$C$3:$C$42</c:f>
              <c:numCache>
                <c:formatCode>_(* #,##0.00_);_(* \(#,##0.00\);_(* "-"??_);_(@_)</c:formatCode>
                <c:ptCount val="40"/>
                <c:pt idx="0">
                  <c:v>1172.6699999999998</c:v>
                </c:pt>
                <c:pt idx="1">
                  <c:v>1356.36</c:v>
                </c:pt>
                <c:pt idx="2">
                  <c:v>1437.33</c:v>
                </c:pt>
                <c:pt idx="3">
                  <c:v>1799.93</c:v>
                </c:pt>
                <c:pt idx="4">
                  <c:v>2533.9</c:v>
                </c:pt>
                <c:pt idx="5">
                  <c:v>3363.6400000000003</c:v>
                </c:pt>
                <c:pt idx="6">
                  <c:v>3186.0400000000004</c:v>
                </c:pt>
                <c:pt idx="7">
                  <c:v>3778.68</c:v>
                </c:pt>
                <c:pt idx="8">
                  <c:v>5112.25</c:v>
                </c:pt>
                <c:pt idx="9">
                  <c:v>6601.42</c:v>
                </c:pt>
                <c:pt idx="10">
                  <c:v>7617.6600000000044</c:v>
                </c:pt>
                <c:pt idx="11">
                  <c:v>7463.7</c:v>
                </c:pt>
                <c:pt idx="12">
                  <c:v>7818.71</c:v>
                </c:pt>
                <c:pt idx="13">
                  <c:v>7567.83</c:v>
                </c:pt>
                <c:pt idx="14">
                  <c:v>8360.2800000000007</c:v>
                </c:pt>
                <c:pt idx="15">
                  <c:v>9198.9699999998647</c:v>
                </c:pt>
                <c:pt idx="16">
                  <c:v>10999.94</c:v>
                </c:pt>
                <c:pt idx="17">
                  <c:v>12788.109999999981</c:v>
                </c:pt>
                <c:pt idx="18">
                  <c:v>14475.279999999981</c:v>
                </c:pt>
                <c:pt idx="19">
                  <c:v>15409.19</c:v>
                </c:pt>
                <c:pt idx="20">
                  <c:v>17778.439999999897</c:v>
                </c:pt>
                <c:pt idx="21">
                  <c:v>17830.86</c:v>
                </c:pt>
                <c:pt idx="22">
                  <c:v>19234.870000000003</c:v>
                </c:pt>
                <c:pt idx="23">
                  <c:v>17308.93</c:v>
                </c:pt>
                <c:pt idx="24">
                  <c:v>19237.010000000002</c:v>
                </c:pt>
                <c:pt idx="25">
                  <c:v>18682.55</c:v>
                </c:pt>
                <c:pt idx="26">
                  <c:v>16426.060000000005</c:v>
                </c:pt>
                <c:pt idx="27">
                  <c:v>14939.39</c:v>
                </c:pt>
                <c:pt idx="28">
                  <c:v>14500.949999999983</c:v>
                </c:pt>
                <c:pt idx="29">
                  <c:v>13259.64000000001</c:v>
                </c:pt>
                <c:pt idx="30">
                  <c:v>13067.1</c:v>
                </c:pt>
                <c:pt idx="31">
                  <c:v>14328.05</c:v>
                </c:pt>
                <c:pt idx="32">
                  <c:v>19167.919999999896</c:v>
                </c:pt>
                <c:pt idx="33">
                  <c:v>25050.09</c:v>
                </c:pt>
                <c:pt idx="34">
                  <c:v>26686.109999999833</c:v>
                </c:pt>
                <c:pt idx="35">
                  <c:v>32985.82</c:v>
                </c:pt>
                <c:pt idx="36">
                  <c:v>41054.75</c:v>
                </c:pt>
                <c:pt idx="37">
                  <c:v>35925.72</c:v>
                </c:pt>
                <c:pt idx="38">
                  <c:v>40331.57</c:v>
                </c:pt>
                <c:pt idx="39">
                  <c:v>44510.44</c:v>
                </c:pt>
              </c:numCache>
            </c:numRef>
          </c:val>
          <c:smooth val="0"/>
          <c:extLst>
            <c:ext xmlns:c16="http://schemas.microsoft.com/office/drawing/2014/chart" uri="{C3380CC4-5D6E-409C-BE32-E72D297353CC}">
              <c16:uniqueId val="{00000001-8949-418C-99EF-F50B2EF7D068}"/>
            </c:ext>
          </c:extLst>
        </c:ser>
        <c:dLbls>
          <c:showLegendKey val="0"/>
          <c:showVal val="0"/>
          <c:showCatName val="0"/>
          <c:showSerName val="0"/>
          <c:showPercent val="0"/>
          <c:showBubbleSize val="0"/>
        </c:dLbls>
        <c:marker val="1"/>
        <c:smooth val="0"/>
        <c:axId val="184440320"/>
        <c:axId val="184441856"/>
      </c:lineChart>
      <c:lineChart>
        <c:grouping val="standard"/>
        <c:varyColors val="0"/>
        <c:ser>
          <c:idx val="2"/>
          <c:order val="2"/>
          <c:tx>
            <c:strRef>
              <c:f>Sheet2!$D$2</c:f>
              <c:strCache>
                <c:ptCount val="1"/>
                <c:pt idx="0">
                  <c:v>FDI Share</c:v>
                </c:pt>
              </c:strCache>
            </c:strRef>
          </c:tx>
          <c:spPr>
            <a:ln>
              <a:solidFill>
                <a:schemeClr val="accent1">
                  <a:lumMod val="75000"/>
                </a:schemeClr>
              </a:solidFill>
              <a:prstDash val="sysDash"/>
            </a:ln>
          </c:spPr>
          <c:marker>
            <c:symbol val="none"/>
          </c:marker>
          <c:val>
            <c:numRef>
              <c:f>Sheet2!$D$3:$D$42</c:f>
              <c:numCache>
                <c:formatCode>0.0%</c:formatCode>
                <c:ptCount val="40"/>
                <c:pt idx="0">
                  <c:v>0.43745986854969127</c:v>
                </c:pt>
                <c:pt idx="1">
                  <c:v>0.36610409009165384</c:v>
                </c:pt>
                <c:pt idx="2">
                  <c:v>0.5897820101561404</c:v>
                </c:pt>
                <c:pt idx="3">
                  <c:v>0.28508383242271057</c:v>
                </c:pt>
                <c:pt idx="4">
                  <c:v>0.39238702452322782</c:v>
                </c:pt>
                <c:pt idx="5">
                  <c:v>0.2122648168653673</c:v>
                </c:pt>
                <c:pt idx="6">
                  <c:v>0.25375790991693326</c:v>
                </c:pt>
                <c:pt idx="7">
                  <c:v>0.17264902260558537</c:v>
                </c:pt>
                <c:pt idx="8">
                  <c:v>0.14506425923244698</c:v>
                </c:pt>
                <c:pt idx="9">
                  <c:v>9.9960461127517747E-2</c:v>
                </c:pt>
                <c:pt idx="10">
                  <c:v>3.1009112734272298E-2</c:v>
                </c:pt>
                <c:pt idx="11">
                  <c:v>0.11957080051088342</c:v>
                </c:pt>
                <c:pt idx="12">
                  <c:v>0.13395092005509771</c:v>
                </c:pt>
                <c:pt idx="13">
                  <c:v>9.4299977694285997E-2</c:v>
                </c:pt>
                <c:pt idx="14">
                  <c:v>0.10612043762545442</c:v>
                </c:pt>
                <c:pt idx="15">
                  <c:v>8.2396951213102532E-2</c:v>
                </c:pt>
                <c:pt idx="16">
                  <c:v>6.5297706251696924E-2</c:v>
                </c:pt>
                <c:pt idx="17">
                  <c:v>0.13231278599603141</c:v>
                </c:pt>
                <c:pt idx="18">
                  <c:v>8.5609285484701494E-2</c:v>
                </c:pt>
                <c:pt idx="19">
                  <c:v>0.13937676583055617</c:v>
                </c:pt>
                <c:pt idx="20">
                  <c:v>5.5843978840299804E-2</c:v>
                </c:pt>
                <c:pt idx="21">
                  <c:v>7.0612060180079123E-2</c:v>
                </c:pt>
                <c:pt idx="22">
                  <c:v>3.7556315719889675E-2</c:v>
                </c:pt>
                <c:pt idx="23">
                  <c:v>4.0223910054849522E-2</c:v>
                </c:pt>
                <c:pt idx="24">
                  <c:v>4.1603641001814684E-2</c:v>
                </c:pt>
                <c:pt idx="25">
                  <c:v>4.6505800694292256E-2</c:v>
                </c:pt>
                <c:pt idx="26">
                  <c:v>3.4880219218213618E-2</c:v>
                </c:pt>
                <c:pt idx="27">
                  <c:v>5.4486875519981832E-2</c:v>
                </c:pt>
                <c:pt idx="28">
                  <c:v>4.4066238731694123E-2</c:v>
                </c:pt>
                <c:pt idx="29">
                  <c:v>5.4942300632164716E-2</c:v>
                </c:pt>
                <c:pt idx="30">
                  <c:v>4.4829075053200891E-2</c:v>
                </c:pt>
                <c:pt idx="31">
                  <c:v>8.9067519486395713E-2</c:v>
                </c:pt>
                <c:pt idx="32">
                  <c:v>7.0299117872740333E-2</c:v>
                </c:pt>
                <c:pt idx="33">
                  <c:v>8.7536469820635898E-2</c:v>
                </c:pt>
                <c:pt idx="34">
                  <c:v>5.3197376238004031E-2</c:v>
                </c:pt>
                <c:pt idx="35">
                  <c:v>6.578782047965992E-2</c:v>
                </c:pt>
                <c:pt idx="36">
                  <c:v>5.8276188167444606E-2</c:v>
                </c:pt>
                <c:pt idx="37">
                  <c:v>5.5695491515553912E-2</c:v>
                </c:pt>
                <c:pt idx="38">
                  <c:v>6.1648451049911013E-2</c:v>
                </c:pt>
                <c:pt idx="39">
                  <c:v>8.0955999940161491E-2</c:v>
                </c:pt>
              </c:numCache>
            </c:numRef>
          </c:val>
          <c:smooth val="0"/>
          <c:extLst>
            <c:ext xmlns:c16="http://schemas.microsoft.com/office/drawing/2014/chart" uri="{C3380CC4-5D6E-409C-BE32-E72D297353CC}">
              <c16:uniqueId val="{00000002-8949-418C-99EF-F50B2EF7D068}"/>
            </c:ext>
          </c:extLst>
        </c:ser>
        <c:ser>
          <c:idx val="3"/>
          <c:order val="3"/>
          <c:tx>
            <c:strRef>
              <c:f>Sheet2!$E$2</c:f>
              <c:strCache>
                <c:ptCount val="1"/>
                <c:pt idx="0">
                  <c:v>ODA Share</c:v>
                </c:pt>
              </c:strCache>
            </c:strRef>
          </c:tx>
          <c:spPr>
            <a:ln>
              <a:solidFill>
                <a:schemeClr val="accent2"/>
              </a:solidFill>
              <a:prstDash val="sysDash"/>
            </a:ln>
          </c:spPr>
          <c:marker>
            <c:symbol val="none"/>
          </c:marker>
          <c:val>
            <c:numRef>
              <c:f>Sheet2!$E$3:$E$42</c:f>
              <c:numCache>
                <c:formatCode>0.0%</c:formatCode>
                <c:ptCount val="40"/>
                <c:pt idx="0">
                  <c:v>0.19864853876854066</c:v>
                </c:pt>
                <c:pt idx="1">
                  <c:v>0.21061098240405471</c:v>
                </c:pt>
                <c:pt idx="2">
                  <c:v>0.21632657361391522</c:v>
                </c:pt>
                <c:pt idx="3">
                  <c:v>0.21350520379864271</c:v>
                </c:pt>
                <c:pt idx="4">
                  <c:v>0.21939781840347591</c:v>
                </c:pt>
                <c:pt idx="5">
                  <c:v>0.22792332445891214</c:v>
                </c:pt>
                <c:pt idx="6">
                  <c:v>0.23337430395119871</c:v>
                </c:pt>
                <c:pt idx="7">
                  <c:v>0.25712880052423631</c:v>
                </c:pt>
                <c:pt idx="8">
                  <c:v>0.28588340755015407</c:v>
                </c:pt>
                <c:pt idx="9">
                  <c:v>0.30373448641724698</c:v>
                </c:pt>
                <c:pt idx="10">
                  <c:v>0.29259405928424892</c:v>
                </c:pt>
                <c:pt idx="11">
                  <c:v>0.29515688353370712</c:v>
                </c:pt>
                <c:pt idx="12">
                  <c:v>0.32107107600373852</c:v>
                </c:pt>
                <c:pt idx="13">
                  <c:v>0.32967221098798866</c:v>
                </c:pt>
                <c:pt idx="14">
                  <c:v>0.35121619237265139</c:v>
                </c:pt>
                <c:pt idx="15">
                  <c:v>0.36414647769571074</c:v>
                </c:pt>
                <c:pt idx="16">
                  <c:v>0.38005843257519328</c:v>
                </c:pt>
                <c:pt idx="17">
                  <c:v>0.3911259700455415</c:v>
                </c:pt>
                <c:pt idx="18">
                  <c:v>0.40997516122546007</c:v>
                </c:pt>
                <c:pt idx="19">
                  <c:v>0.41550735548698076</c:v>
                </c:pt>
                <c:pt idx="20">
                  <c:v>0.36981395976745529</c:v>
                </c:pt>
                <c:pt idx="21">
                  <c:v>0.34678656384542722</c:v>
                </c:pt>
                <c:pt idx="22">
                  <c:v>0.38520170607359155</c:v>
                </c:pt>
                <c:pt idx="23">
                  <c:v>0.37691889928523148</c:v>
                </c:pt>
                <c:pt idx="24">
                  <c:v>0.37834927537999635</c:v>
                </c:pt>
                <c:pt idx="25">
                  <c:v>0.38598180637556229</c:v>
                </c:pt>
                <c:pt idx="26">
                  <c:v>0.35979643297726238</c:v>
                </c:pt>
                <c:pt idx="27">
                  <c:v>0.37925569427188832</c:v>
                </c:pt>
                <c:pt idx="28">
                  <c:v>0.35077438653579041</c:v>
                </c:pt>
                <c:pt idx="29">
                  <c:v>0.3102537434440738</c:v>
                </c:pt>
                <c:pt idx="30">
                  <c:v>0.33060625948458588</c:v>
                </c:pt>
                <c:pt idx="31">
                  <c:v>0.33584678426889208</c:v>
                </c:pt>
                <c:pt idx="32">
                  <c:v>0.39070705267086531</c:v>
                </c:pt>
                <c:pt idx="33">
                  <c:v>0.44302380612145281</c:v>
                </c:pt>
                <c:pt idx="34">
                  <c:v>0.4251820630820668</c:v>
                </c:pt>
                <c:pt idx="35">
                  <c:v>0.35934168192346966</c:v>
                </c:pt>
                <c:pt idx="36">
                  <c:v>0.46411363985783138</c:v>
                </c:pt>
                <c:pt idx="37">
                  <c:v>0.41968254761885404</c:v>
                </c:pt>
                <c:pt idx="38">
                  <c:v>0.39741402228624961</c:v>
                </c:pt>
                <c:pt idx="39">
                  <c:v>0.44548337270516031</c:v>
                </c:pt>
              </c:numCache>
            </c:numRef>
          </c:val>
          <c:smooth val="0"/>
          <c:extLst>
            <c:ext xmlns:c16="http://schemas.microsoft.com/office/drawing/2014/chart" uri="{C3380CC4-5D6E-409C-BE32-E72D297353CC}">
              <c16:uniqueId val="{00000003-8949-418C-99EF-F50B2EF7D068}"/>
            </c:ext>
          </c:extLst>
        </c:ser>
        <c:dLbls>
          <c:showLegendKey val="0"/>
          <c:showVal val="0"/>
          <c:showCatName val="0"/>
          <c:showSerName val="0"/>
          <c:showPercent val="0"/>
          <c:showBubbleSize val="0"/>
        </c:dLbls>
        <c:marker val="1"/>
        <c:smooth val="0"/>
        <c:axId val="184495104"/>
        <c:axId val="184493184"/>
      </c:lineChart>
      <c:catAx>
        <c:axId val="184440320"/>
        <c:scaling>
          <c:orientation val="minMax"/>
        </c:scaling>
        <c:delete val="0"/>
        <c:axPos val="b"/>
        <c:numFmt formatCode="General" sourceLinked="0"/>
        <c:majorTickMark val="none"/>
        <c:minorTickMark val="none"/>
        <c:tickLblPos val="nextTo"/>
        <c:txPr>
          <a:bodyPr/>
          <a:lstStyle/>
          <a:p>
            <a:pPr>
              <a:defRPr sz="900"/>
            </a:pPr>
            <a:endParaRPr lang="en-US"/>
          </a:p>
        </c:txPr>
        <c:crossAx val="184441856"/>
        <c:crosses val="autoZero"/>
        <c:auto val="1"/>
        <c:lblAlgn val="ctr"/>
        <c:lblOffset val="100"/>
        <c:noMultiLvlLbl val="0"/>
      </c:catAx>
      <c:valAx>
        <c:axId val="184441856"/>
        <c:scaling>
          <c:orientation val="minMax"/>
        </c:scaling>
        <c:delete val="0"/>
        <c:axPos val="l"/>
        <c:majorGridlines/>
        <c:title>
          <c:tx>
            <c:rich>
              <a:bodyPr rot="-5400000" vert="horz"/>
              <a:lstStyle/>
              <a:p>
                <a:pPr>
                  <a:defRPr/>
                </a:pPr>
                <a:r>
                  <a:rPr lang="en-US"/>
                  <a:t>Millions of current USD</a:t>
                </a:r>
              </a:p>
            </c:rich>
          </c:tx>
          <c:overlay val="0"/>
        </c:title>
        <c:numFmt formatCode="&quot;$&quot;#,##0" sourceLinked="0"/>
        <c:majorTickMark val="none"/>
        <c:minorTickMark val="none"/>
        <c:tickLblPos val="nextTo"/>
        <c:spPr>
          <a:ln w="9525">
            <a:noFill/>
          </a:ln>
        </c:spPr>
        <c:crossAx val="184440320"/>
        <c:crosses val="autoZero"/>
        <c:crossBetween val="between"/>
      </c:valAx>
      <c:valAx>
        <c:axId val="184493184"/>
        <c:scaling>
          <c:orientation val="minMax"/>
        </c:scaling>
        <c:delete val="0"/>
        <c:axPos val="r"/>
        <c:title>
          <c:tx>
            <c:rich>
              <a:bodyPr rot="-5400000" vert="horz"/>
              <a:lstStyle/>
              <a:p>
                <a:pPr>
                  <a:defRPr/>
                </a:pPr>
                <a:r>
                  <a:rPr lang="en-US"/>
                  <a:t>Share of flows to developing world</a:t>
                </a:r>
              </a:p>
            </c:rich>
          </c:tx>
          <c:overlay val="0"/>
        </c:title>
        <c:numFmt formatCode="0.0%" sourceLinked="1"/>
        <c:majorTickMark val="out"/>
        <c:minorTickMark val="none"/>
        <c:tickLblPos val="nextTo"/>
        <c:crossAx val="184495104"/>
        <c:crosses val="max"/>
        <c:crossBetween val="between"/>
      </c:valAx>
      <c:catAx>
        <c:axId val="184495104"/>
        <c:scaling>
          <c:orientation val="minMax"/>
        </c:scaling>
        <c:delete val="1"/>
        <c:axPos val="b"/>
        <c:majorTickMark val="out"/>
        <c:minorTickMark val="none"/>
        <c:tickLblPos val="none"/>
        <c:crossAx val="184493184"/>
        <c:crosses val="autoZero"/>
        <c:auto val="1"/>
        <c:lblAlgn val="ctr"/>
        <c:lblOffset val="100"/>
        <c:noMultiLvlLbl val="0"/>
      </c:catAx>
    </c:plotArea>
    <c:legend>
      <c:legendPos val="b"/>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0.17083</cdr:x>
      <cdr:y>0.56597</cdr:y>
    </cdr:from>
    <cdr:to>
      <cdr:x>0.37083</cdr:x>
      <cdr:y>0.89931</cdr:y>
    </cdr:to>
    <cdr:sp macro="" textlink="">
      <cdr:nvSpPr>
        <cdr:cNvPr id="2" name="TextBox 1"/>
        <cdr:cNvSpPr txBox="1"/>
      </cdr:nvSpPr>
      <cdr:spPr>
        <a:xfrm xmlns:a="http://schemas.openxmlformats.org/drawingml/2006/main">
          <a:off x="781050" y="15525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09B36-1672-426F-A2AD-74D34EFC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USAID</dc:creator>
  <cp:lastModifiedBy>Michael Nicholson</cp:lastModifiedBy>
  <cp:revision>2</cp:revision>
  <cp:lastPrinted>2018-08-16T14:10:00Z</cp:lastPrinted>
  <dcterms:created xsi:type="dcterms:W3CDTF">2019-12-11T06:03:00Z</dcterms:created>
  <dcterms:modified xsi:type="dcterms:W3CDTF">2019-12-11T06:03:00Z</dcterms:modified>
</cp:coreProperties>
</file>