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2"/>
          <w:szCs w:val="22"/>
        </w:rPr>
      </w:pPr>
      <w:r w:rsidDel="00000000" w:rsidR="00000000" w:rsidRPr="00000000">
        <w:rPr>
          <w:b w:val="1"/>
          <w:bCs w:val="1"/>
          <w:sz w:val="22"/>
          <w:szCs w:val="22"/>
          <w:rtl w:val="0"/>
        </w:rPr>
        <w:t>Acuerdo de Transferencia de Datos</w:t>
      </w:r>
    </w:p>
    <w:p w:rsidR="00000000" w:rsidDel="00000000" w:rsidP="00000000" w:rsidRDefault="00000000" w:rsidRPr="00000000" w14:paraId="00000002">
      <w:pPr>
        <w:spacing w:line="240" w:lineRule="auto"/>
        <w:jc w:val="center"/>
        <w:rPr>
          <w:sz w:val="22"/>
          <w:szCs w:val="22"/>
        </w:rPr>
      </w:pPr>
    </w:p>
    <w:p w:rsidR="00000000" w:rsidDel="00000000" w:rsidP="00000000" w:rsidRDefault="00000000" w:rsidRPr="00000000" w14:paraId="00000003">
      <w:pPr>
        <w:spacing w:line="240" w:lineRule="auto"/>
        <w:jc w:val="both"/>
        <w:rPr>
          <w:sz w:val="22"/>
          <w:szCs w:val="22"/>
          <w:u w:val="none"/>
        </w:rPr>
      </w:pPr>
      <w:r w:rsidDel="00000000" w:rsidR="00000000" w:rsidRPr="00000000">
        <w:rPr>
          <w:sz w:val="22"/>
          <w:szCs w:val="22"/>
          <w:u w:val="none"/>
          <w:rtl w:val="0"/>
        </w:rPr>
        <w:t xml:space="preserve">EL PRESENTE ACUERDO, con fecha de entrada en vigor el [INSERTAR FECHA] (la “Fecha de Entrada en Vigor”) y con vigencia hasta [24 meses a partir de la Fecha de Entrada en Vigor], salvo que sea terminado con anterioridad de conformidad con la Sección 8 del presente Acuerdo (la “Vigencia”), se celebra entre [PARTE PROVEEDORA], con domicilio en [DIRECCIÓN] (el “Proveedor”), y The Regents of the University of California (la Junta de Regentes de la Universidad de California), en nombre de su campus de Berkeley, con domicilio en 2150 Shattuck Avenue, Suite 408, Berkeley, CA 94704-1362 (el “Receptor”). </w:t>
      </w:r>
    </w:p>
    <w:p w:rsidR="00000000" w:rsidDel="00000000" w:rsidP="00000000" w:rsidRDefault="00000000" w:rsidRPr="00000000" w14:paraId="00000004">
      <w:pPr>
        <w:spacing w:line="240" w:lineRule="auto"/>
        <w:jc w:val="both"/>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05">
      <w:pPr>
        <w:spacing w:line="240" w:lineRule="auto"/>
        <w:jc w:val="both"/>
        <w:rPr>
          <w:sz w:val="22"/>
          <w:szCs w:val="22"/>
          <w:u w:val="none"/>
        </w:rPr>
      </w:pPr>
      <w:r w:rsidDel="00000000" w:rsidR="00000000" w:rsidRPr="00000000">
        <w:rPr>
          <w:sz w:val="22"/>
          <w:szCs w:val="22"/>
          <w:u w:val="none"/>
          <w:rtl w:val="0"/>
        </w:rPr>
        <w:t>En consideración a los compromisos y promesas del Receptor aquí contenidos, el Proveedor acuerda por medio del presente suministrar los Datos al Receptor con el único propósito de facilitar la respuesta humanitaria y la investigación sobre el desplazamiento y los impactos económicos de los terremotos que afectaron a Venezuela el 24 de junio de 2026 (la “Investigación”), realizada por el Receptor a través de los Investigadores Principales Dorothy Kronick y Joshua Blumenstock (los “Investigadores”) o de la(s) persona(s) que actúe(n) directamente bajo la dirección de los Investigadores (las “Personas Autorizadas”), conforme a los términos y condiciones que se establecen a continuación. Podrán suministrarse Datos adicionales mediante una enmienda al presente Acuerdo suscrita por los representantes autorizados de las partes.</w:t>
      </w:r>
    </w:p>
    <w:p w:rsidR="00000000" w:rsidDel="00000000" w:rsidP="00000000" w:rsidRDefault="00000000" w:rsidRPr="00000000" w14:paraId="00000006">
      <w:pPr>
        <w:spacing w:line="240" w:lineRule="auto"/>
        <w:jc w:val="both"/>
        <w:rPr>
          <w:sz w:val="22"/>
          <w:szCs w:val="22"/>
          <w:u w:val="none"/>
        </w:rPr>
      </w:pPr>
    </w:p>
    <w:p w:rsidR="00000000" w:rsidDel="00000000" w:rsidP="00000000" w:rsidRDefault="00000000" w:rsidRPr="00000000" w14:paraId="00000007">
      <w:pPr>
        <w:numPr>
          <w:ilvl w:val="0"/>
          <w:numId w:val="4"/>
        </w:numPr>
        <w:spacing w:line="240" w:lineRule="auto"/>
        <w:ind w:left="720" w:hanging="360"/>
        <w:jc w:val="both"/>
        <w:rPr>
          <w:color w:val="000000"/>
          <w:sz w:val="22"/>
          <w:szCs w:val="22"/>
        </w:rPr>
      </w:pPr>
      <w:r w:rsidDel="00000000" w:rsidR="00000000" w:rsidRPr="00000000">
        <w:rPr>
          <w:sz w:val="22"/>
          <w:szCs w:val="22"/>
          <w:u w:val="none"/>
          <w:rtl w:val="0"/>
        </w:rPr>
        <w:t xml:space="preserve">DATOS. Los Datos que suministrará el Proveedor comprenden los elementos descritos en el Anexo A (los “Datos”). Para evitar cualquier duda, toda información o dato que el Proveedor entregue al Receptor se considerará Datos. </w:t>
      </w:r>
    </w:p>
    <w:p w:rsidR="00000000" w:rsidDel="00000000" w:rsidP="00000000" w:rsidRDefault="00000000" w:rsidRPr="00000000" w14:paraId="00000008">
      <w:pPr>
        <w:numPr>
          <w:ilvl w:val="0"/>
          <w:numId w:val="4"/>
        </w:numPr>
        <w:spacing w:line="240" w:lineRule="auto"/>
        <w:ind w:left="720" w:hanging="360"/>
        <w:jc w:val="both"/>
        <w:rPr>
          <w:sz w:val="22"/>
          <w:szCs w:val="22"/>
        </w:rPr>
      </w:pPr>
      <w:r w:rsidDel="00000000" w:rsidR="00000000" w:rsidRPr="00000000">
        <w:rPr>
          <w:sz w:val="22"/>
          <w:szCs w:val="22"/>
          <w:u w:val="none"/>
          <w:rtl w:val="0"/>
        </w:rPr>
        <w:t>LICENCIA DE USO DE LOS DATOS. El Proveedor acuerda por medio del presente suministrar los Datos al Receptor sin costo alguno y consiente en que el Receptor utilice los Datos en la Investigación, según se describe en el Anexo B. El Receptor no usará ni explotará los Datos para ningún fin (incluida su divulgación o uso en relación con cualquier solicitud de patente) distinto del cumplimiento de la Investigación. El Receptor no hará uso comercial alguno de los Datos ni de los Resultados (según se definen más adelante) que incluyan los Datos. El Proveedor conservará el derecho irrestricto de distribuir los Datos a otras entidades comerciales o no comerciales. El Receptor reconoce que los Datos son propiedad del Proveedor y que el Proveedor conserva la titularidad de los mismos. Salvo por lo expresamente previsto anteriormente, nada de lo contenido en este Acuerdo se entenderá como el otorgamiento al Receptor de derecho, título o interés alguno sobre los Datos, ni de licencia alguna sobre estos, sobre patentes, solicitudes de patente u otros derechos de propiedad del Proveedor respecto de cualquier invención, descubrimiento o mejora.</w:t>
      </w:r>
    </w:p>
    <w:p w:rsidR="00000000" w:rsidDel="00000000" w:rsidP="00000000" w:rsidRDefault="00000000" w:rsidRPr="00000000" w14:paraId="00000009">
      <w:pPr>
        <w:numPr>
          <w:ilvl w:val="0"/>
          <w:numId w:val="4"/>
        </w:numPr>
        <w:spacing w:line="240" w:lineRule="auto"/>
        <w:ind w:left="720" w:hanging="360"/>
        <w:jc w:val="both"/>
        <w:rPr>
          <w:sz w:val="22"/>
          <w:szCs w:val="22"/>
        </w:rPr>
      </w:pPr>
      <w:r w:rsidDel="00000000" w:rsidR="00000000" w:rsidRPr="00000000">
        <w:rPr>
          <w:color w:val="000000"/>
          <w:sz w:val="22"/>
          <w:szCs w:val="22"/>
          <w:u w:val="none"/>
          <w:rtl w:val="0"/>
        </w:rPr>
        <w:t>CONFIDENCIALIDAD DE LOS DATOS. El Receptor acuerda que los Datos son confidenciales del Proveedor y que no transferirá ni divulgará de otro modo los Datos a persona alguna, salvo a las Personas Autorizadas del grupo de investigación del Investigador y con el único propósito de la Investigación. El Receptor mantendrá los Datos en confidencialidad, empleando precauciones al menos tan estrictas como las que aplica para proteger su propia información confidencial y datos de naturaleza similar y, en todo caso, no menores que precauciones razonables. El Receptor notificará de inmediato al Proveedor al tener conocimiento de cualquier divulgación no autorizada por el presente Acuerdo y adoptará medidas razonables para impedir cualquier divulgación o uso no autorizado ulterior. El Receptor será responsable de garantizar la confidencialidad de los Datos por parte de sus empleados y otras personas autorizadas. Cualquiera de las Partes podrá divulgar tanto la existencia como el propósito de la relación objeto del presente Acuerdo, incluidas la existencia y las condiciones de este Acuerdo. El Receptor no tendrá obligaciones de confidencialidad respecto de aquella información que: (1) fuera conocida por el Receptor con anterioridad a su recepción conforme al presente Acuerdo, según se demuestre mediante registros escritos; (2) al momento de su divulgación estuviera generalmente disponible al público, o que después de su divulgación pase a estar generalmente disponible al público sin culpa atribuible a la parte receptora; (3) sea puesta a disposición del Receptor, en lo sucesivo, para su uso o divulgación por un tercero con derecho a hacerlo; (4) deba divulgarse por mandato de ley, norma o reglamento gubernamental, u orden de un tribunal competente; o (5) sea desarrollada de manera independiente por el Receptor sin referencia a los Datos.</w:t>
      </w:r>
    </w:p>
    <w:p w:rsidR="00000000" w:rsidDel="00000000" w:rsidP="00000000" w:rsidRDefault="00000000" w:rsidRPr="00000000" w14:paraId="0000000A">
      <w:pPr>
        <w:numPr>
          <w:ilvl w:val="0"/>
          <w:numId w:val="4"/>
        </w:numPr>
        <w:spacing w:line="240" w:lineRule="auto"/>
        <w:ind w:left="720" w:hanging="360"/>
        <w:jc w:val="both"/>
        <w:rPr>
          <w:sz w:val="22"/>
          <w:szCs w:val="22"/>
        </w:rPr>
      </w:pPr>
      <w:r w:rsidDel="00000000" w:rsidR="00000000" w:rsidRPr="00000000">
        <w:rPr>
          <w:sz w:val="22"/>
          <w:szCs w:val="22"/>
          <w:u w:val="none"/>
          <w:rtl w:val="0"/>
        </w:rPr>
        <w:t>DESTRUCCIÓN DE LOS DATOS. Al finalizar la Vigencia o al terminarse el presente Acuerdo de conformidad con la Sección 8, el Receptor destruirá la totalidad de los Datos. El Receptor podrá conservar (a) productos agregados, derivados o estadísticos y el código de análisis que no contengan los Datos en sí, y (b) la porción mínima de los Datos que resulte razonablemente necesaria para verificar, defender o reproducir resultados publicados, en relación con requisitos de reproducibilidad de la revisión por pares o con las obligaciones institucionales de conservación de registros del Receptor. Todo Dato así conservado permanecerá sujeto a las Secciones 2 y 3 mientras se mantenga en conservación. El Receptor notificará al Proveedor, por correo electrónico, la destrucción de los Datos dentro de los 30 días siguientes a dicha destrucción.</w:t>
      </w:r>
    </w:p>
    <w:p w:rsidR="00000000" w:rsidDel="00000000" w:rsidP="00000000" w:rsidRDefault="00000000" w:rsidRPr="00000000" w14:paraId="0000000B">
      <w:pPr>
        <w:numPr>
          <w:ilvl w:val="0"/>
          <w:numId w:val="4"/>
        </w:numPr>
        <w:spacing w:line="240" w:lineRule="auto"/>
        <w:ind w:left="720" w:hanging="360"/>
        <w:rPr>
          <w:sz w:val="22"/>
          <w:szCs w:val="22"/>
        </w:rPr>
      </w:pPr>
      <w:r w:rsidDel="00000000" w:rsidR="00000000" w:rsidRPr="00000000">
        <w:rPr>
          <w:color w:val="000000"/>
          <w:sz w:val="22"/>
          <w:szCs w:val="22"/>
          <w:u w:val="none"/>
          <w:rtl w:val="0"/>
        </w:rPr>
        <w:t xml:space="preserve">PUBLICACIÓN. En caso de que el Receptor desee publicar los resultados de la Investigación o divulgar cualesquiera Resultados, el Receptor entregará al Proveedor una copia de la publicación o divulgación prevista, incluidos los artículos científicos, ponencias, solicitudes y resúmenes propuestos, con al menos catorce (14) días de antelación a su envío para publicación, a fin de que el Proveedor los evalúe, revise, comente e identifique cualquier información confidencial o de su propiedad que hubiera sido incluida y que el Proveedor desee que se elimine. Por “información confidencial o de propiedad del Proveedor” se entenderá únicamente aquella información que estuviera en posesión del Proveedor con anterioridad a la Fecha de Entrada en Vigor o que el Proveedor divulgue al Receptor de manera separada de los Datos, y quedan excluidos los Resultados, cualquier análisis agregado, derivado o estadístico de los Datos, y cualesquiera conclusiones o interpretaciones de los Investigadores. El Receptor acuerda eliminar dicha información confidencial o de propiedad del Proveedor antes de la publicación o divulgación. Al término del período de revisión de 14 días, el Receptor tendrá derecho a publicar. El Receptor entregará al Proveedor una copia de las versiones finales de todos los trabajos publicados generados conforme al presente Acuerdo. </w:t>
      </w:r>
    </w:p>
    <w:p w:rsidR="00000000" w:rsidDel="00000000" w:rsidP="00000000" w:rsidRDefault="00000000" w:rsidRPr="00000000" w14:paraId="0000000C">
      <w:pPr>
        <w:numPr>
          <w:ilvl w:val="0"/>
          <w:numId w:val="4"/>
        </w:numPr>
        <w:spacing w:line="240" w:lineRule="auto"/>
        <w:ind w:left="720" w:hanging="360"/>
        <w:jc w:val="both"/>
        <w:rPr>
          <w:sz w:val="22"/>
          <w:szCs w:val="22"/>
        </w:rPr>
      </w:pPr>
      <w:r w:rsidDel="00000000" w:rsidR="00000000" w:rsidRPr="00000000">
        <w:rPr>
          <w:sz w:val="22"/>
          <w:szCs w:val="22"/>
          <w:u w:val="none"/>
          <w:rtl w:val="0"/>
        </w:rPr>
        <w:t>DECLARACIONES Y GARANTÍAS. El Proveedor garantiza que tiene el derecho de divulgar los Datos al Receptor. El Proveedor declara y garantiza, además, que su recolección de los Datos y su divulgación de los Datos al Receptor conforme al presente Acuerdo cumplen con todas las leyes y regulaciones que le resulten aplicables, incluidas las leyes venezolanas aplicables en materia de telecomunicaciones, privacidad y protección de datos, así como cualesquiera requisitos de consentimiento, notificación o autorización de los suscriptores previstos en ellas, y que no se requiere consentimiento, aprobación o autorización alguna de una autoridad gubernamental o regulatoria para dicha divulgación que no haya sido obtenida. Los Datos se suministran “TAL COMO ESTÁN” y el Proveedor por el presente rechaza y no otorga declaración, condición ni garantía alguna, expresa o implícita, respecto de ninguno de los Datos. El Proveedor rechaza expresamente cualquier garantía, condición o declaración implícita de que los Datos se correspondan con una descripción determinada, sean de calidad comercializable o resulten aptos para un propósito particular. El Proveedor no será responsable por ninguna pérdida, sea directa, consecuencial, incidental o especial (y ya sea que derive de responsabilidad contractual o extracontractual), que el Receptor pudiera sufrir como consecuencia de cualquier defecto, error, falla, confianza en los Datos, o incumplimiento en el desempeño de estos. Nada en el presente Acuerdo se interpretará como una garantía o declaración del Proveedor de que los Datos están o estarán libres de infracción de patentes, derechos de autor, marcas, diseños industriales u otros derechos de propiedad intelectual de terceros.</w:t>
      </w:r>
    </w:p>
    <w:p w:rsidR="00000000" w:rsidDel="00000000" w:rsidP="00000000" w:rsidRDefault="00000000" w:rsidRPr="00000000" w14:paraId="0000000D">
      <w:pPr>
        <w:widowControl w:val="0"/>
        <w:numPr>
          <w:ilvl w:val="0"/>
          <w:numId w:val="4"/>
        </w:numPr>
        <w:spacing w:line="240" w:lineRule="auto"/>
        <w:ind w:left="720" w:hanging="360"/>
        <w:jc w:val="both"/>
        <w:rPr>
          <w:color w:val="000000"/>
          <w:sz w:val="22"/>
          <w:szCs w:val="22"/>
        </w:rPr>
      </w:pPr>
      <w:r w:rsidDel="00000000" w:rsidR="00000000" w:rsidRPr="00000000">
        <w:rPr>
          <w:color w:val="000000"/>
          <w:sz w:val="22"/>
          <w:szCs w:val="22"/>
          <w:u w:val="none"/>
          <w:rtl w:val="0"/>
        </w:rPr>
        <w:t xml:space="preserve">REPORTE DE RESULTADOS. El Receptor entregará al Proveedor los Resultados de la Investigación. A los efectos de esta Sección 7, se entenderá por “Resultados” todos los informes escritos, datos, análisis, resultados de pruebas y resultados de investigación generados en la ejecución de la Investigación. Para mayor claridad, nada de lo aquí contenido limitará ni restringirá el derecho del Proveedor de usar o explotar los Resultados para cualquier fin. </w:t>
      </w:r>
    </w:p>
    <w:p w:rsidR="00000000" w:rsidDel="00000000" w:rsidP="00000000" w:rsidRDefault="00000000" w:rsidRPr="00000000" w14:paraId="0000000E">
      <w:pPr>
        <w:numPr>
          <w:ilvl w:val="0"/>
          <w:numId w:val="4"/>
        </w:numPr>
        <w:spacing w:line="240" w:lineRule="auto"/>
        <w:ind w:left="720" w:hanging="360"/>
        <w:jc w:val="both"/>
        <w:rPr>
          <w:sz w:val="22"/>
          <w:szCs w:val="22"/>
        </w:rPr>
      </w:pPr>
      <w:r w:rsidDel="00000000" w:rsidR="00000000" w:rsidRPr="00000000">
        <w:rPr>
          <w:sz w:val="22"/>
          <w:szCs w:val="22"/>
          <w:u w:val="none"/>
          <w:rtl w:val="0"/>
        </w:rPr>
        <w:t>TERMINACIÓN. El Proveedor podrá dar por terminado el presente Acuerdo mediante notificación escrita al Receptor con treinta (30) días de antelación. Al vencimiento o terminación del presente Acuerdo a solicitud del Proveedor, cesarán los derechos del Receptor de usar los Datos y el Receptor destruirá todos los Datos y demás información confidencial del Proveedor que se encuentren en su poder (incluidas las copias de estos), y certificará dicha destrucción al Proveedor por escrito, salvo en la medida necesaria para completar los análisis que ya se encuentren en curso a la fecha efectiva de la terminación, por un período de noventa (90) días contados a partir de dicha fecha, transcurrido el cual los Datos se destruirán de conformidad con la Sección 4. Los derechos de conservación del Receptor establecidos en la Sección 4 se aplican a cualquier vencimiento o terminación del presente Acuerdo. Las Secciones 3 a 7 y 10 a 14 subsistirán a la terminación del presente Acuerdo.</w:t>
      </w:r>
    </w:p>
    <w:p w:rsidR="00000000" w:rsidDel="00000000" w:rsidP="00000000" w:rsidRDefault="00000000" w:rsidRPr="00000000" w14:paraId="0000000F">
      <w:pPr>
        <w:numPr>
          <w:ilvl w:val="0"/>
          <w:numId w:val="4"/>
        </w:numPr>
        <w:spacing w:line="240" w:lineRule="auto"/>
        <w:ind w:left="720" w:hanging="360"/>
        <w:jc w:val="both"/>
        <w:rPr>
          <w:sz w:val="22"/>
          <w:szCs w:val="22"/>
        </w:rPr>
      </w:pPr>
      <w:r w:rsidDel="00000000" w:rsidR="00000000" w:rsidRPr="00000000">
        <w:rPr>
          <w:sz w:val="22"/>
          <w:szCs w:val="22"/>
          <w:u w:val="none"/>
          <w:rtl w:val="0"/>
        </w:rPr>
        <w:t>NOTIFICACIONES. Toda notificación requerida o permitida conforme al presente Acuerdo se hará por escrito a un representante autorizado de la otra parte, hará referencia a este Acuerdo y se considerará válidamente efectuada: al momento de su entrega personal a la parte que deba ser notificada; diez (10) días hábiles después de su envío por correo registrado o certificado, con franqueo prepagado; o tres (3) días hábiles después de su entrega a un servicio de mensajería comercial de reconocida trayectoria con entrega al día siguiente, con verificación escrita de recepción, siempre que la notificación se confirme mediante otro escrito enviado al día siguiente por correo registrado o certificado. Todas las notificaciones se enviarán a las direcciones que se indican a continuación, o a cualquier otra dirección que se indique mediante notificación conforme al presente Acuerdo.</w:t>
      </w:r>
    </w:p>
    <w:p w:rsidR="00000000" w:rsidDel="00000000" w:rsidP="00000000" w:rsidRDefault="00000000" w:rsidRPr="00000000" w14:paraId="00000010">
      <w:pPr>
        <w:spacing w:line="240" w:lineRule="auto"/>
        <w:rPr>
          <w:sz w:val="22"/>
          <w:szCs w:val="22"/>
        </w:rPr>
      </w:pPr>
    </w:p>
    <w:tbl>
      <w:tblPr>
        <w:tblStyle w:val="Table1"/>
        <w:tblpPr w:leftFromText="180" w:rightFromText="180" w:topFromText="180" w:bottomFromText="180" w:vertAnchor="text" w:horzAnchor="text" w:tblpX="709" w:tblpY="3"/>
        <w:tblW w:w="8490.0" w:type="dxa"/>
        <w:jc w:val="left"/>
        <w:tblLayout w:type="fixed"/>
        <w:tblLook w:val="0600"/>
      </w:tblPr>
      <w:tblGrid>
        <w:gridCol w:w="1800"/>
        <w:gridCol w:w="589"/>
        <w:gridCol w:w="6101"/>
        <w:tblGridChange w:id="0">
          <w:tblGrid>
            <w:gridCol w:w="1800"/>
            <w:gridCol w:w="589"/>
            <w:gridCol w:w="6101"/>
          </w:tblGrid>
        </w:tblGridChange>
      </w:tblGrid>
      <w:tr>
        <w:trPr>
          <w:cantSplit w:val="0"/>
          <w:trHeight w:val="1335" w:hRule="atLeast"/>
          <w:tblHeader w:val="0"/>
        </w:trPr>
        <w:tc>
          <w:tcPr>
            <w:tcMar>
              <w:top w:w="0.0" w:type="dxa"/>
              <w:left w:w="0.0" w:type="dxa"/>
              <w:bottom w:w="0.0" w:type="dxa"/>
              <w:right w:w="0.0" w:type="dxa"/>
            </w:tcMar>
          </w:tcPr>
          <w:p w:rsidR="00000000" w:rsidDel="00000000" w:rsidP="00000000" w:rsidRDefault="00000000" w:rsidRPr="00000000" w14:paraId="00000011">
            <w:pPr>
              <w:spacing w:line="240" w:lineRule="auto"/>
              <w:rPr>
                <w:sz w:val="22"/>
                <w:szCs w:val="22"/>
                <w:u w:val="none"/>
              </w:rPr>
            </w:pPr>
            <w:r w:rsidDel="00000000" w:rsidR="00000000" w:rsidRPr="00000000">
              <w:rPr>
                <w:sz w:val="22"/>
                <w:szCs w:val="22"/>
                <w:u w:val="none"/>
                <w:rtl w:val="0"/>
              </w:rPr>
              <w:t>Si es al Receptor:</w:t>
            </w:r>
          </w:p>
        </w:tc>
        <w:tc>
          <w:tcPr>
            <w:tcMar>
              <w:top w:w="0.0" w:type="dxa"/>
              <w:left w:w="0.0" w:type="dxa"/>
              <w:bottom w:w="0.0" w:type="dxa"/>
              <w:right w:w="0.0" w:type="dxa"/>
            </w:tcMar>
          </w:tcPr>
          <w:p w:rsidR="00000000" w:rsidDel="00000000" w:rsidP="00000000" w:rsidRDefault="00000000" w:rsidRPr="00000000" w14:paraId="00000012">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3">
            <w:pPr>
              <w:spacing w:line="240" w:lineRule="auto"/>
              <w:rPr>
                <w:sz w:val="22"/>
                <w:szCs w:val="22"/>
                <w:u w:val="none"/>
              </w:rPr>
            </w:pPr>
            <w:r w:rsidDel="00000000" w:rsidR="00000000" w:rsidRPr="00000000">
              <w:rPr>
                <w:sz w:val="22"/>
                <w:szCs w:val="22"/>
                <w:u w:val="none"/>
                <w:rtl w:val="0"/>
              </w:rPr>
              <w:t xml:space="preserve">The Regents of the University of California</w:t>
            </w:r>
          </w:p>
          <w:p w:rsidR="00000000" w:rsidDel="00000000" w:rsidP="00000000" w:rsidRDefault="00000000" w:rsidRPr="00000000" w14:paraId="00000014">
            <w:pPr>
              <w:spacing w:line="240" w:lineRule="auto"/>
              <w:rPr>
                <w:sz w:val="22"/>
                <w:szCs w:val="22"/>
                <w:u w:val="none"/>
              </w:rPr>
            </w:pPr>
            <w:r w:rsidDel="00000000" w:rsidR="00000000" w:rsidRPr="00000000">
              <w:rPr>
                <w:sz w:val="22"/>
                <w:szCs w:val="22"/>
                <w:u w:val="none"/>
                <w:rtl w:val="0"/>
              </w:rPr>
              <w:t xml:space="preserve">2150 Shattuck Avenue, Suite 408</w:t>
            </w:r>
          </w:p>
          <w:p w:rsidR="00000000" w:rsidDel="00000000" w:rsidP="00000000" w:rsidRDefault="00000000" w:rsidRPr="00000000" w14:paraId="00000015">
            <w:pPr>
              <w:spacing w:line="240" w:lineRule="auto"/>
              <w:rPr>
                <w:sz w:val="22"/>
                <w:szCs w:val="22"/>
                <w:u w:val="none"/>
              </w:rPr>
            </w:pPr>
            <w:r w:rsidDel="00000000" w:rsidR="00000000" w:rsidRPr="00000000">
              <w:rPr>
                <w:sz w:val="22"/>
                <w:szCs w:val="22"/>
                <w:u w:val="none"/>
                <w:rtl w:val="0"/>
              </w:rPr>
              <w:t xml:space="preserve">University of California, Berkeley</w:t>
            </w:r>
          </w:p>
          <w:p w:rsidR="00000000" w:rsidDel="00000000" w:rsidP="00000000" w:rsidRDefault="00000000" w:rsidRPr="00000000" w14:paraId="00000016">
            <w:pPr>
              <w:spacing w:line="240" w:lineRule="auto"/>
              <w:rPr>
                <w:sz w:val="22"/>
                <w:szCs w:val="22"/>
                <w:u w:val="none"/>
              </w:rPr>
            </w:pPr>
            <w:r w:rsidDel="00000000" w:rsidR="00000000" w:rsidRPr="00000000">
              <w:rPr>
                <w:sz w:val="22"/>
                <w:szCs w:val="22"/>
                <w:u w:val="none"/>
                <w:rtl w:val="0"/>
              </w:rPr>
              <w:t xml:space="preserve">Berkeley, CA 94704-1362</w:t>
            </w:r>
          </w:p>
          <w:p w:rsidR="00000000" w:rsidDel="00000000" w:rsidP="00000000" w:rsidRDefault="00000000" w:rsidRPr="00000000" w14:paraId="00000017">
            <w:pPr>
              <w:spacing w:line="240" w:lineRule="auto"/>
              <w:rPr>
                <w:sz w:val="22"/>
                <w:szCs w:val="22"/>
                <w:u w:val="none"/>
              </w:rPr>
            </w:pPr>
            <w:hyperlink r:id="rId7">
              <w:r w:rsidDel="00000000" w:rsidR="00000000" w:rsidRPr="00000000">
                <w:rPr>
                  <w:color w:val="0000ff"/>
                  <w:sz w:val="22"/>
                  <w:szCs w:val="22"/>
                  <w:u w:val="single"/>
                  <w:rtl w:val="0"/>
                </w:rPr>
                <w:t xml:space="preserve">MTA@berkeley.edu</w:t>
              </w:r>
            </w:hyperlink>
            <w:r w:rsidDel="00000000" w:rsidR="00000000" w:rsidRPr="00000000">
              <w:rPr>
                <w:sz w:val="22"/>
                <w:szCs w:val="22"/>
                <w:u w:val="none"/>
                <w:rtl w:val="0"/>
              </w:rPr>
              <w:t xml:space="preserve"> </w:t>
            </w:r>
          </w:p>
        </w:tc>
      </w:tr>
      <w:tr>
        <w:trPr>
          <w:cantSplit w:val="0"/>
          <w:trHeight w:val="255" w:hRule="atLeast"/>
          <w:tblHeader w:val="0"/>
        </w:trPr>
        <w:tc>
          <w:tcPr>
            <w:tcMar>
              <w:top w:w="0.0" w:type="dxa"/>
              <w:left w:w="0.0" w:type="dxa"/>
              <w:bottom w:w="0.0" w:type="dxa"/>
              <w:right w:w="0.0" w:type="dxa"/>
            </w:tcMar>
          </w:tcPr>
          <w:p w:rsidR="00000000" w:rsidDel="00000000" w:rsidP="00000000" w:rsidRDefault="00000000" w:rsidRPr="00000000" w14:paraId="00000018">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9">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A">
            <w:pPr>
              <w:spacing w:line="240" w:lineRule="auto"/>
              <w:rPr>
                <w:sz w:val="22"/>
                <w:szCs w:val="22"/>
                <w:u w:val="none"/>
              </w:rPr>
            </w:pPr>
            <w:r w:rsidDel="00000000" w:rsidR="00000000" w:rsidRPr="00000000">
              <w:rPr>
                <w:sz w:val="22"/>
                <w:szCs w:val="22"/>
                <w:u w:val="none"/>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01B">
            <w:pPr>
              <w:spacing w:line="240" w:lineRule="auto"/>
              <w:rPr>
                <w:sz w:val="22"/>
                <w:szCs w:val="22"/>
                <w:u w:val="none"/>
              </w:rPr>
            </w:pPr>
            <w:r w:rsidDel="00000000" w:rsidR="00000000" w:rsidRPr="00000000">
              <w:rPr>
                <w:sz w:val="22"/>
                <w:szCs w:val="22"/>
                <w:u w:val="none"/>
                <w:rtl w:val="0"/>
              </w:rPr>
              <w:t>Si es al Proveedor:</w:t>
            </w:r>
          </w:p>
        </w:tc>
        <w:tc>
          <w:tcPr>
            <w:tcMar>
              <w:top w:w="0.0" w:type="dxa"/>
              <w:left w:w="0.0" w:type="dxa"/>
              <w:bottom w:w="0.0" w:type="dxa"/>
              <w:right w:w="0.0" w:type="dxa"/>
            </w:tcMar>
          </w:tcPr>
          <w:p w:rsidR="00000000" w:rsidDel="00000000" w:rsidP="00000000" w:rsidRDefault="00000000" w:rsidRPr="00000000" w14:paraId="0000001C">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D">
            <w:pPr>
              <w:spacing w:line="240" w:lineRule="auto"/>
              <w:rPr>
                <w:color w:val="222222"/>
                <w:sz w:val="22"/>
                <w:szCs w:val="22"/>
                <w:highlight w:val="white"/>
                <w:u w:val="none"/>
              </w:rPr>
            </w:pPr>
            <w:r w:rsidDel="00000000" w:rsidR="00000000" w:rsidRPr="00000000">
              <w:rPr>
                <w:color w:val="222222"/>
                <w:sz w:val="22"/>
                <w:szCs w:val="22"/>
                <w:highlight w:val="white"/>
                <w:u w:val="none"/>
                <w:rtl w:val="0"/>
              </w:rPr>
              <w:t>[dirección]</w:t>
            </w:r>
          </w:p>
        </w:tc>
      </w:tr>
    </w:tbl>
    <w:p w:rsidR="00000000" w:rsidDel="00000000" w:rsidP="00000000" w:rsidRDefault="00000000" w:rsidRPr="00000000" w14:paraId="0000001E">
      <w:pPr>
        <w:spacing w:line="240" w:lineRule="auto"/>
        <w:rPr>
          <w:sz w:val="22"/>
          <w:szCs w:val="22"/>
        </w:rPr>
      </w:pPr>
    </w:p>
    <w:p w:rsidR="00000000" w:rsidDel="00000000" w:rsidP="00000000" w:rsidRDefault="00000000" w:rsidRPr="00000000" w14:paraId="0000001F">
      <w:pPr>
        <w:spacing w:line="240" w:lineRule="auto"/>
        <w:rPr>
          <w:sz w:val="22"/>
          <w:szCs w:val="22"/>
        </w:rPr>
      </w:pPr>
    </w:p>
    <w:p w:rsidR="00000000" w:rsidDel="00000000" w:rsidP="00000000" w:rsidRDefault="00000000" w:rsidRPr="00000000" w14:paraId="00000020">
      <w:pPr>
        <w:spacing w:line="240" w:lineRule="auto"/>
        <w:rPr>
          <w:sz w:val="22"/>
          <w:szCs w:val="22"/>
        </w:rPr>
      </w:pPr>
    </w:p>
    <w:p w:rsidR="00000000" w:rsidDel="00000000" w:rsidP="00000000" w:rsidRDefault="00000000" w:rsidRPr="00000000" w14:paraId="00000021">
      <w:pPr>
        <w:spacing w:line="240" w:lineRule="auto"/>
        <w:rPr>
          <w:sz w:val="22"/>
          <w:szCs w:val="22"/>
        </w:rPr>
      </w:pPr>
    </w:p>
    <w:p w:rsidR="00000000" w:rsidDel="00000000" w:rsidP="00000000" w:rsidRDefault="00000000" w:rsidRPr="00000000" w14:paraId="00000022">
      <w:pPr>
        <w:spacing w:line="240" w:lineRule="auto"/>
        <w:rPr>
          <w:sz w:val="22"/>
          <w:szCs w:val="22"/>
        </w:rPr>
      </w:pPr>
    </w:p>
    <w:p w:rsidR="00000000" w:rsidDel="00000000" w:rsidP="00000000" w:rsidRDefault="00000000" w:rsidRPr="00000000" w14:paraId="00000023">
      <w:pPr>
        <w:spacing w:line="240" w:lineRule="auto"/>
        <w:rPr>
          <w:sz w:val="22"/>
          <w:szCs w:val="22"/>
        </w:rPr>
      </w:pPr>
    </w:p>
    <w:p w:rsidR="00000000" w:rsidDel="00000000" w:rsidP="00000000" w:rsidRDefault="00000000" w:rsidRPr="00000000" w14:paraId="00000024">
      <w:pPr>
        <w:spacing w:line="240" w:lineRule="auto"/>
        <w:rPr>
          <w:sz w:val="22"/>
          <w:szCs w:val="22"/>
        </w:rPr>
      </w:pPr>
    </w:p>
    <w:p w:rsidR="00000000" w:rsidDel="00000000" w:rsidP="00000000" w:rsidRDefault="00000000" w:rsidRPr="00000000" w14:paraId="00000025">
      <w:pPr>
        <w:spacing w:line="240" w:lineRule="auto"/>
        <w:rPr>
          <w:sz w:val="22"/>
          <w:szCs w:val="22"/>
        </w:rPr>
      </w:pPr>
    </w:p>
    <w:p w:rsidR="00000000" w:rsidDel="00000000" w:rsidP="00000000" w:rsidRDefault="00000000" w:rsidRPr="00000000" w14:paraId="00000026">
      <w:pPr>
        <w:spacing w:line="240" w:lineRule="auto"/>
        <w:rPr>
          <w:sz w:val="22"/>
          <w:szCs w:val="22"/>
        </w:rPr>
      </w:pPr>
    </w:p>
    <w:p w:rsidR="00000000" w:rsidDel="00000000" w:rsidP="00000000" w:rsidRDefault="00000000" w:rsidRPr="00000000" w14:paraId="00000027">
      <w:pPr>
        <w:numPr>
          <w:ilvl w:val="0"/>
          <w:numId w:val="4"/>
        </w:numPr>
        <w:spacing w:line="240" w:lineRule="auto"/>
        <w:ind w:left="720" w:hanging="360"/>
        <w:jc w:val="both"/>
        <w:rPr>
          <w:sz w:val="22"/>
          <w:szCs w:val="22"/>
        </w:rPr>
      </w:pPr>
      <w:r w:rsidDel="00000000" w:rsidR="00000000" w:rsidRPr="00000000">
        <w:rPr>
          <w:sz w:val="22"/>
          <w:szCs w:val="22"/>
          <w:u w:val="none"/>
          <w:rtl w:val="0"/>
        </w:rPr>
        <w:t>CUMPLIMIENTO DE LA LEY. El presente Acuerdo se regirá por las leyes del Estado de California, sin atender a sus disposiciones sobre conflicto de leyes.</w:t>
      </w:r>
    </w:p>
    <w:p w:rsidR="00000000" w:rsidDel="00000000" w:rsidP="00000000" w:rsidRDefault="00000000" w:rsidRPr="00000000" w14:paraId="00000028">
      <w:pPr>
        <w:numPr>
          <w:ilvl w:val="0"/>
          <w:numId w:val="4"/>
        </w:numPr>
        <w:spacing w:line="240" w:lineRule="auto"/>
        <w:ind w:left="720" w:hanging="360"/>
        <w:jc w:val="both"/>
        <w:rPr>
          <w:sz w:val="22"/>
          <w:szCs w:val="22"/>
        </w:rPr>
      </w:pPr>
      <w:r w:rsidDel="00000000" w:rsidR="00000000" w:rsidRPr="00000000">
        <w:rPr>
          <w:sz w:val="22"/>
          <w:szCs w:val="22"/>
          <w:u w:val="none"/>
          <w:rtl w:val="0"/>
        </w:rPr>
        <w:t>ACUERDO ÍNTEGRO. El presente Acuerdo constituye el contrato íntegro entre las partes respecto de su objeto y deja sin efecto cualesquiera declaraciones, manifestaciones, negociaciones o acuerdos previos, escritos u orales. Este Acuerdo solo podrá modificarse mediante enmienda escrita suscrita por los representantes autorizados de ambas partes.</w:t>
      </w:r>
    </w:p>
    <w:p w:rsidR="00000000" w:rsidDel="00000000" w:rsidP="00000000" w:rsidRDefault="00000000" w:rsidRPr="00000000" w14:paraId="00000029">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CESIÓN. Ninguna de las partes podrá ceder el presente Acuerdo sin el consentimiento previo y escrito de la otra parte, con la salvedad de que el Proveedor podrá ceder este Acuerdo en el marco de una fusión, cambio de control o venta de la totalidad o de una parte sustancial de su negocio o de sus activos, sin el consentimiento previo y escrito del Receptor. Los derechos y obligaciones aquí previstos serán vinculantes y redundarán en beneficio de los sucesores y cesionarios permitidos de las partes. </w:t>
      </w:r>
    </w:p>
    <w:p w:rsidR="00000000" w:rsidDel="00000000" w:rsidP="00000000" w:rsidRDefault="00000000" w:rsidRPr="00000000" w14:paraId="0000002A">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USO DEL NOMBRE. Ninguna de las partes usará el nombre de la otra parte ni el de sus empleados en publicidad, comunicados de prensa u otro material de difusión sin la aprobación previa y escrita de la otra parte. El Proveedor entiende que la sección 92000 del Código de Educación de California establece que el nombre “University of California” es propiedad del Estado y que ninguna persona podrá usar dicho nombre sin la autorización de The Regents of the University of California. </w:t>
      </w:r>
    </w:p>
    <w:p w:rsidR="00000000" w:rsidDel="00000000" w:rsidP="00000000" w:rsidRDefault="00000000" w:rsidRPr="00000000" w14:paraId="0000002B">
      <w:pPr>
        <w:numPr>
          <w:ilvl w:val="0"/>
          <w:numId w:val="4"/>
        </w:numPr>
        <w:spacing w:line="240" w:lineRule="auto"/>
        <w:ind w:left="720" w:hanging="360"/>
        <w:jc w:val="both"/>
        <w:rPr>
          <w:sz w:val="22"/>
          <w:szCs w:val="22"/>
        </w:rPr>
      </w:pPr>
      <w:r w:rsidDel="00000000" w:rsidR="00000000" w:rsidRPr="00000000">
        <w:rPr>
          <w:sz w:val="22"/>
          <w:szCs w:val="22"/>
          <w:u w:val="none"/>
          <w:rtl w:val="0"/>
        </w:rPr>
        <w:t>DIVISIBILIDAD. Si alguna disposición del presente Acuerdo llegare a ser o fuere declarada ilegal, inválida o inexigible, dicha disposición será separable del Acuerdo y se tendrá por suprimida del mismo. Si dicha supresión alterare sustancialmente la base del presente Acuerdo, las partes negociarán de buena fe la modificación de sus disposiciones para dar efecto a la intención original de las partes.</w:t>
      </w:r>
    </w:p>
    <w:p w:rsidR="00000000" w:rsidDel="00000000" w:rsidP="00000000" w:rsidRDefault="00000000" w:rsidRPr="00000000" w14:paraId="0000002C">
      <w:pPr>
        <w:numPr>
          <w:ilvl w:val="0"/>
          <w:numId w:val="4"/>
        </w:numPr>
        <w:spacing w:line="240" w:lineRule="auto"/>
        <w:ind w:left="720" w:hanging="360"/>
        <w:jc w:val="both"/>
        <w:rPr>
          <w:sz w:val="22"/>
          <w:szCs w:val="22"/>
        </w:rPr>
      </w:pPr>
      <w:r w:rsidDel="00000000" w:rsidR="00000000" w:rsidRPr="00000000">
        <w:rPr>
          <w:sz w:val="22"/>
          <w:szCs w:val="22"/>
          <w:u w:val="none"/>
          <w:rtl w:val="0"/>
        </w:rPr>
        <w:t>CONTRATISTA INDEPENDIENTE. El Proveedor y el Receptor son contratistas independientes y ninguno es agente, socio ni participante en negocio conjunto (joint venture) del otro.</w:t>
      </w:r>
    </w:p>
    <w:p w:rsidR="00000000" w:rsidDel="00000000" w:rsidP="00000000" w:rsidRDefault="00000000" w:rsidRPr="00000000" w14:paraId="0000002D">
      <w:pPr>
        <w:spacing w:line="240" w:lineRule="auto"/>
        <w:ind w:left="720" w:firstLine="0"/>
        <w:jc w:val="both"/>
        <w:rPr>
          <w:sz w:val="22"/>
          <w:szCs w:val="22"/>
        </w:rPr>
      </w:pPr>
    </w:p>
    <w:p w:rsidR="00000000" w:rsidDel="00000000" w:rsidP="00000000" w:rsidRDefault="00000000" w:rsidRPr="00000000" w14:paraId="0000002E">
      <w:pPr>
        <w:spacing w:line="240" w:lineRule="auto"/>
        <w:jc w:val="both"/>
        <w:rPr>
          <w:sz w:val="22"/>
          <w:szCs w:val="22"/>
        </w:rPr>
      </w:pPr>
      <w:r w:rsidDel="00000000" w:rsidR="00000000" w:rsidRPr="00000000">
        <w:rPr>
          <w:sz w:val="22"/>
          <w:szCs w:val="22"/>
          <w:u w:val="none"/>
          <w:rtl w:val="0"/>
        </w:rPr>
        <w:t>EN FE DE LO CUAL, las partes han suscrito el presente Acuerdo por medio de sus representantes debidamente autorizados.</w:t>
      </w:r>
    </w:p>
    <w:p w:rsidR="00000000" w:rsidDel="00000000" w:rsidP="00000000" w:rsidRDefault="00000000" w:rsidRPr="00000000" w14:paraId="0000002F">
      <w:pPr>
        <w:spacing w:line="240" w:lineRule="auto"/>
        <w:rPr>
          <w:sz w:val="22"/>
          <w:szCs w:val="22"/>
        </w:rPr>
      </w:pPr>
    </w:p>
    <w:tbl>
      <w:tblPr>
        <w:tblStyle w:val="Table2"/>
        <w:tblW w:w="9390.0" w:type="dxa"/>
        <w:jc w:val="left"/>
        <w:tblLayout w:type="fixed"/>
        <w:tblLook w:val="0600"/>
      </w:tblPr>
      <w:tblGrid>
        <w:gridCol w:w="4501"/>
        <w:gridCol w:w="594"/>
        <w:gridCol w:w="4295"/>
        <w:tblGridChange w:id="0">
          <w:tblGrid>
            <w:gridCol w:w="4501"/>
            <w:gridCol w:w="594"/>
            <w:gridCol w:w="429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0">
            <w:pPr>
              <w:spacing w:line="240" w:lineRule="auto"/>
              <w:jc w:val="both"/>
              <w:rPr>
                <w:color w:val="222222"/>
                <w:sz w:val="22"/>
                <w:szCs w:val="22"/>
                <w:highlight w:val="white"/>
                <w:u w:val="none"/>
              </w:rPr>
            </w:pPr>
            <w:r w:rsidDel="00000000" w:rsidR="00000000" w:rsidRPr="00000000">
              <w:rPr>
                <w:color w:val="222222"/>
                <w:sz w:val="22"/>
                <w:szCs w:val="22"/>
                <w:highlight w:val="white"/>
                <w:u w:val="none"/>
                <w:rtl w:val="0"/>
              </w:rPr>
              <w:t>[PARTE PROVEEDORA]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1">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2">
            <w:pPr>
              <w:spacing w:line="240" w:lineRule="auto"/>
              <w:rPr>
                <w:sz w:val="22"/>
                <w:szCs w:val="22"/>
                <w:u w:val="none"/>
              </w:rPr>
            </w:pPr>
            <w:r w:rsidDel="00000000" w:rsidR="00000000" w:rsidRPr="00000000">
              <w:rPr>
                <w:sz w:val="22"/>
                <w:szCs w:val="22"/>
                <w:u w:val="none"/>
                <w:rtl w:val="0"/>
              </w:rPr>
              <w:t>The Regents of the University of California</w:t>
            </w:r>
          </w:p>
          <w:p w:rsidR="00000000" w:rsidDel="00000000" w:rsidP="00000000" w:rsidRDefault="00000000" w:rsidRPr="00000000" w14:paraId="00000033">
            <w:pPr>
              <w:spacing w:line="240" w:lineRule="auto"/>
              <w:rPr>
                <w:sz w:val="22"/>
                <w:szCs w:val="22"/>
                <w:u w:val="none"/>
              </w:rPr>
            </w:pPr>
            <w:r w:rsidDel="00000000" w:rsidR="00000000" w:rsidRPr="00000000">
              <w:rPr>
                <w:sz w:val="22"/>
                <w:szCs w:val="22"/>
                <w:u w:val="none"/>
                <w:rtl w:val="0"/>
              </w:rPr>
              <w:t>En nombre del campus de Berkeley</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4">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5">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6">
            <w:pPr>
              <w:spacing w:line="240" w:lineRule="auto"/>
              <w:rPr>
                <w:sz w:val="22"/>
                <w:szCs w:val="22"/>
                <w:u w:val="none"/>
              </w:rPr>
            </w:pPr>
            <w:r w:rsidDel="00000000" w:rsidR="00000000" w:rsidRPr="00000000">
              <w:rPr>
                <w:sz w:val="22"/>
                <w:szCs w:val="22"/>
                <w:u w:val="none"/>
                <w:rtl w:val="0"/>
              </w:rPr>
              <w:t>Firma: _________________________</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7">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8">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9">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A">
            <w:pPr>
              <w:spacing w:line="240" w:lineRule="auto"/>
              <w:rPr>
                <w:sz w:val="22"/>
                <w:szCs w:val="22"/>
                <w:u w:val="none"/>
              </w:rPr>
            </w:pPr>
            <w:r w:rsidDel="00000000" w:rsidR="00000000" w:rsidRPr="00000000">
              <w:rPr>
                <w:sz w:val="22"/>
                <w:szCs w:val="22"/>
                <w:u w:val="none"/>
                <w:rtl w:val="0"/>
              </w:rPr>
              <w:t>Firma: _________________________</w:t>
            </w:r>
          </w:p>
        </w:tc>
      </w:tr>
      <w:tr>
        <w:trPr>
          <w:cantSplit w:val="0"/>
          <w:trHeight w:val="57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B">
            <w:pPr>
              <w:spacing w:line="240" w:lineRule="auto"/>
              <w:rPr>
                <w:sz w:val="22"/>
                <w:szCs w:val="22"/>
                <w:u w:val="none"/>
              </w:rPr>
            </w:pPr>
            <w:r w:rsidDel="00000000" w:rsidR="00000000" w:rsidRPr="00000000">
              <w:rPr>
                <w:sz w:val="22"/>
                <w:szCs w:val="22"/>
                <w:u w:val="none"/>
                <w:rtl w:val="0"/>
              </w:rPr>
              <w:t>Nombre: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C">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D">
            <w:pPr>
              <w:spacing w:line="240" w:lineRule="auto"/>
              <w:rPr>
                <w:sz w:val="22"/>
                <w:szCs w:val="22"/>
                <w:u w:val="none"/>
              </w:rPr>
            </w:pPr>
            <w:r w:rsidDel="00000000" w:rsidR="00000000" w:rsidRPr="00000000">
              <w:rPr>
                <w:sz w:val="22"/>
                <w:szCs w:val="22"/>
                <w:u w:val="none"/>
                <w:rtl w:val="0"/>
              </w:rPr>
              <w:t xml:space="preserve">Nombre: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E">
            <w:pPr>
              <w:spacing w:line="240" w:lineRule="auto"/>
              <w:rPr>
                <w:sz w:val="22"/>
                <w:szCs w:val="22"/>
                <w:u w:val="none"/>
              </w:rPr>
            </w:pPr>
            <w:r w:rsidDel="00000000" w:rsidR="00000000" w:rsidRPr="00000000">
              <w:rPr>
                <w:sz w:val="22"/>
                <w:szCs w:val="22"/>
                <w:u w:val="none"/>
                <w:rtl w:val="0"/>
              </w:rPr>
              <w:t xml:space="preserve">Cargo: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F">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0">
            <w:pPr>
              <w:spacing w:line="240" w:lineRule="auto"/>
              <w:rPr>
                <w:sz w:val="22"/>
                <w:szCs w:val="22"/>
                <w:u w:val="none"/>
              </w:rPr>
            </w:pPr>
            <w:r w:rsidDel="00000000" w:rsidR="00000000" w:rsidRPr="00000000">
              <w:rPr>
                <w:sz w:val="22"/>
                <w:szCs w:val="22"/>
                <w:u w:val="none"/>
                <w:rtl w:val="0"/>
              </w:rPr>
              <w:t xml:space="preserve">Cargo:  </w:t>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1">
            <w:pPr>
              <w:spacing w:line="240" w:lineRule="auto"/>
              <w:rPr>
                <w:sz w:val="22"/>
                <w:szCs w:val="22"/>
                <w:u w:val="none"/>
              </w:rPr>
            </w:pPr>
            <w:r w:rsidDel="00000000" w:rsidR="00000000" w:rsidRPr="00000000">
              <w:rPr>
                <w:sz w:val="22"/>
                <w:szCs w:val="22"/>
                <w:u w:val="none"/>
                <w:rtl w:val="0"/>
              </w:rPr>
              <w:t xml:space="preserve">Fecha: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2">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3">
            <w:pPr>
              <w:spacing w:line="240" w:lineRule="auto"/>
              <w:rPr>
                <w:sz w:val="22"/>
                <w:szCs w:val="22"/>
                <w:u w:val="none"/>
              </w:rPr>
            </w:pPr>
            <w:r w:rsidDel="00000000" w:rsidR="00000000" w:rsidRPr="00000000">
              <w:rPr>
                <w:sz w:val="22"/>
                <w:szCs w:val="22"/>
                <w:u w:val="none"/>
                <w:rtl w:val="0"/>
              </w:rPr>
              <w:t>Fecha:</w:t>
            </w:r>
          </w:p>
        </w:tc>
      </w:tr>
    </w:tbl>
    <w:p w:rsidR="00000000" w:rsidDel="00000000" w:rsidP="00000000" w:rsidRDefault="00000000" w:rsidRPr="00000000" w14:paraId="00000044">
      <w:pPr>
        <w:spacing w:line="240" w:lineRule="auto"/>
        <w:jc w:val="both"/>
        <w:rPr>
          <w:sz w:val="22"/>
          <w:szCs w:val="22"/>
        </w:rPr>
      </w:pPr>
    </w:p>
    <w:p w:rsidR="00000000" w:rsidDel="00000000" w:rsidP="00000000" w:rsidRDefault="00000000" w:rsidRPr="00000000" w14:paraId="00000045">
      <w:pPr>
        <w:spacing w:line="240" w:lineRule="auto"/>
        <w:rPr>
          <w:sz w:val="22"/>
          <w:szCs w:val="22"/>
        </w:rPr>
      </w:pPr>
      <w:r w:rsidDel="00000000" w:rsidR="00000000" w:rsidRPr="00000000">
        <w:br w:type="page"/>
      </w:r>
    </w:p>
    <w:p w:rsidR="00000000" w:rsidDel="00000000" w:rsidP="00000000" w:rsidRDefault="00000000" w:rsidRPr="00000000" w14:paraId="00000046">
      <w:pPr>
        <w:spacing w:line="240" w:lineRule="auto"/>
        <w:jc w:val="center"/>
        <w:rPr>
          <w:sz w:val="22"/>
          <w:szCs w:val="22"/>
        </w:rPr>
      </w:pPr>
      <w:r w:rsidDel="00000000" w:rsidR="00000000" w:rsidRPr="00000000">
        <w:rPr>
          <w:sz w:val="22"/>
          <w:szCs w:val="22"/>
          <w:rtl w:val="0"/>
        </w:rPr>
        <w:t>Anexo A: Descripción de los Datos</w:t>
      </w:r>
    </w:p>
    <w:p w:rsidR="00000000" w:rsidDel="00000000" w:rsidP="00000000" w:rsidRDefault="00000000" w:rsidRPr="00000000" w14:paraId="00000047">
      <w:pPr>
        <w:spacing w:line="240" w:lineRule="auto"/>
        <w:rPr>
          <w:sz w:val="22"/>
          <w:szCs w:val="22"/>
          <w:u w:val="none"/>
        </w:rPr>
      </w:pPr>
    </w:p>
    <w:p w:rsidR="00000000" w:rsidDel="00000000" w:rsidP="00000000" w:rsidRDefault="00000000" w:rsidRPr="00000000" w14:paraId="00000048">
      <w:pPr>
        <w:spacing w:line="240" w:lineRule="auto"/>
        <w:rPr>
          <w:sz w:val="22"/>
          <w:szCs w:val="22"/>
          <w:u w:val="none"/>
        </w:rPr>
      </w:pPr>
    </w:p>
    <w:p w:rsidR="00000000" w:rsidDel="00000000" w:rsidP="00000000" w:rsidRDefault="00000000" w:rsidRPr="00000000" w14:paraId="00000049">
      <w:pPr>
        <w:spacing w:line="240" w:lineRule="auto"/>
        <w:rPr>
          <w:sz w:val="22"/>
          <w:szCs w:val="22"/>
          <w:u w:val="none"/>
        </w:rPr>
      </w:pPr>
      <w:r w:rsidDel="00000000" w:rsidR="00000000" w:rsidRPr="00000000">
        <w:rPr>
          <w:sz w:val="22"/>
          <w:szCs w:val="22"/>
          <w:u w:val="none"/>
          <w:rtl w:val="0"/>
        </w:rPr>
        <w:t>Los Datos que se suministrarán al Receptor incluyen registros de detalle de llamadas (CDR, por sus siglas en inglés) y registros de detalle de datos (DDR) sobre clientes en Venezuela, correspondientes al período comprendido entre el 1 de septiembre de 2024 y el 31 de agosto de 2026. Las Partes prevén que el Proveedor podrá suministrar Datos adicionales correspondientes a períodos posteriores mediante una enmienda al presente Acuerdo, según lo contemplado anteriormente, de modo que el reasentamiento pueda analizarse durante toda la Vigencia de la Investigación. Esto incluye:</w:t>
      </w:r>
    </w:p>
    <w:p w:rsidR="00000000" w:rsidDel="00000000" w:rsidP="00000000" w:rsidRDefault="00000000" w:rsidRPr="00000000" w14:paraId="0000004A">
      <w:pPr>
        <w:spacing w:line="240" w:lineRule="auto"/>
        <w:rPr>
          <w:sz w:val="22"/>
          <w:szCs w:val="22"/>
          <w:u w:val="none"/>
        </w:rPr>
      </w:pPr>
    </w:p>
    <w:p w:rsidR="00000000" w:rsidDel="00000000" w:rsidP="00000000" w:rsidRDefault="00000000" w:rsidRPr="00000000" w14:paraId="0000004B">
      <w:pPr>
        <w:numPr>
          <w:ilvl w:val="0"/>
          <w:numId w:val="5"/>
        </w:numPr>
        <w:spacing w:line="240" w:lineRule="auto"/>
        <w:ind w:left="720" w:hanging="360"/>
        <w:rPr>
          <w:sz w:val="22"/>
          <w:szCs w:val="22"/>
        </w:rPr>
      </w:pPr>
      <w:r w:rsidDel="00000000" w:rsidR="00000000" w:rsidRPr="00000000">
        <w:rPr>
          <w:sz w:val="22"/>
          <w:szCs w:val="22"/>
          <w:u w:val="none"/>
          <w:rtl w:val="0"/>
        </w:rPr>
        <w:t>CDR de llamadas/GSM, CDR de SMS y registros de DATOS, con al menos los siguientes campos: MSISDN del llamante (con hash), MSISDN del receptor (con hash), IMEI (con hash), cédula (con hash), fecha y hora, celda o identificador de la radiobase (torre) del llamante, celda o identificador de la radiobase (torre) del receptor (si estuviera disponible)</w:t>
      </w:r>
    </w:p>
    <w:p w:rsidR="00000000" w:rsidDel="00000000" w:rsidP="00000000" w:rsidRDefault="00000000" w:rsidRPr="00000000" w14:paraId="0000004C">
      <w:pPr>
        <w:numPr>
          <w:ilvl w:val="0"/>
          <w:numId w:val="5"/>
        </w:numPr>
        <w:spacing w:line="240" w:lineRule="auto"/>
        <w:ind w:left="720" w:hanging="360"/>
        <w:rPr>
          <w:sz w:val="22"/>
          <w:szCs w:val="22"/>
          <w:u w:val="none"/>
        </w:rPr>
      </w:pPr>
      <w:r w:rsidDel="00000000" w:rsidR="00000000" w:rsidRPr="00000000">
        <w:rPr>
          <w:sz w:val="22"/>
          <w:szCs w:val="22"/>
          <w:u w:val="none"/>
          <w:rtl w:val="0"/>
        </w:rPr>
        <w:t>Un diccionario de ubicación de radiobases (torres), que especifique las coordenadas de latitud y longitud de cada torre</w:t>
      </w:r>
    </w:p>
    <w:p w:rsidR="00000000" w:rsidDel="00000000" w:rsidP="00000000" w:rsidRDefault="00000000" w:rsidRPr="00000000" w14:paraId="0000004D">
      <w:pPr>
        <w:spacing w:line="240" w:lineRule="auto"/>
        <w:ind w:left="0" w:firstLine="0"/>
        <w:rPr>
          <w:sz w:val="22"/>
          <w:szCs w:val="22"/>
          <w:u w:val="none"/>
        </w:rPr>
      </w:pPr>
    </w:p>
    <w:p w:rsidR="00000000" w:rsidDel="00000000" w:rsidP="00000000" w:rsidRDefault="00000000" w:rsidRPr="00000000" w14:paraId="0000004E">
      <w:pPr>
        <w:spacing w:line="240" w:lineRule="auto"/>
        <w:ind w:left="1080" w:firstLine="0"/>
        <w:rPr>
          <w:sz w:val="22"/>
          <w:szCs w:val="22"/>
          <w:u w:val="none"/>
        </w:rPr>
      </w:pPr>
    </w:p>
    <w:p w:rsidR="00000000" w:rsidDel="00000000" w:rsidP="00000000" w:rsidRDefault="00000000" w:rsidRPr="00000000" w14:paraId="0000004F">
      <w:pPr>
        <w:spacing w:line="240" w:lineRule="auto"/>
        <w:ind w:left="1080" w:firstLine="0"/>
        <w:rPr>
          <w:sz w:val="22"/>
          <w:szCs w:val="22"/>
          <w:u w:val="none"/>
        </w:rPr>
      </w:pPr>
    </w:p>
    <w:p w:rsidR="00000000" w:rsidDel="00000000" w:rsidP="00000000" w:rsidRDefault="00000000" w:rsidRPr="00000000" w14:paraId="00000050">
      <w:pPr>
        <w:spacing w:line="240" w:lineRule="auto"/>
        <w:rPr>
          <w:sz w:val="22"/>
          <w:szCs w:val="22"/>
          <w:u w:val="none"/>
        </w:rPr>
      </w:pPr>
    </w:p>
    <w:p w:rsidR="00000000" w:rsidDel="00000000" w:rsidP="00000000" w:rsidRDefault="00000000" w:rsidRPr="00000000" w14:paraId="00000051">
      <w:pPr>
        <w:shd w:fill="ffffff" w:val="clear"/>
        <w:spacing w:line="240" w:lineRule="auto"/>
        <w:rPr>
          <w:color w:val="222222"/>
          <w:sz w:val="22"/>
          <w:szCs w:val="22"/>
          <w:u w:val="none"/>
        </w:rPr>
      </w:pPr>
    </w:p>
    <w:p w:rsidR="00000000" w:rsidDel="00000000" w:rsidP="00000000" w:rsidRDefault="00000000" w:rsidRPr="00000000" w14:paraId="00000052">
      <w:pPr>
        <w:spacing w:line="240" w:lineRule="auto"/>
        <w:rPr>
          <w:sz w:val="22"/>
          <w:szCs w:val="22"/>
          <w:u w:val="none"/>
        </w:rPr>
      </w:pPr>
      <w:r w:rsidDel="00000000" w:rsidR="00000000" w:rsidRPr="00000000">
        <w:br w:type="page"/>
      </w:r>
    </w:p>
    <w:p w:rsidR="00000000" w:rsidDel="00000000" w:rsidP="00000000" w:rsidRDefault="00000000" w:rsidRPr="00000000" w14:paraId="00000053">
      <w:pPr>
        <w:spacing w:line="240" w:lineRule="auto"/>
        <w:jc w:val="center"/>
        <w:rPr>
          <w:sz w:val="22"/>
          <w:szCs w:val="22"/>
        </w:rPr>
      </w:pPr>
      <w:r w:rsidDel="00000000" w:rsidR="00000000" w:rsidRPr="00000000">
        <w:rPr>
          <w:sz w:val="22"/>
          <w:szCs w:val="22"/>
          <w:rtl w:val="0"/>
        </w:rPr>
        <w:t>Anexo B: Descripción de la Investigación</w:t>
      </w:r>
    </w:p>
    <w:p w:rsidR="00000000" w:rsidDel="00000000" w:rsidP="00000000" w:rsidRDefault="00000000" w:rsidRPr="00000000" w14:paraId="00000054">
      <w:pPr>
        <w:spacing w:line="240" w:lineRule="auto"/>
        <w:jc w:val="center"/>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55">
      <w:pPr>
        <w:spacing w:line="240" w:lineRule="auto"/>
        <w:jc w:val="both"/>
        <w:rPr>
          <w:i w:val="1"/>
          <w:iCs w:val="1"/>
          <w:sz w:val="22"/>
          <w:szCs w:val="22"/>
          <w:u w:val="none"/>
        </w:rPr>
      </w:pPr>
      <w:r w:rsidDel="00000000" w:rsidR="00000000" w:rsidRPr="00000000">
        <w:rPr>
          <w:i w:val="1"/>
          <w:iCs w:val="1"/>
          <w:sz w:val="22"/>
          <w:szCs w:val="22"/>
          <w:u w:val="none"/>
          <w:rtl w:val="0"/>
        </w:rPr>
        <w:t>Investigación Propuesta y Resultados Previstos</w:t>
      </w:r>
    </w:p>
    <w:p w:rsidR="00000000" w:rsidDel="00000000" w:rsidP="00000000" w:rsidRDefault="00000000" w:rsidRPr="00000000" w14:paraId="00000056">
      <w:pPr>
        <w:spacing w:line="240" w:lineRule="auto"/>
        <w:jc w:val="both"/>
        <w:rPr>
          <w:sz w:val="22"/>
          <w:szCs w:val="22"/>
          <w:u w:val="none"/>
        </w:rPr>
      </w:pPr>
      <w:r w:rsidDel="00000000" w:rsidR="00000000" w:rsidRPr="00000000">
        <w:rPr>
          <w:sz w:val="22"/>
          <w:szCs w:val="22"/>
          <w:u w:val="none"/>
          <w:rtl w:val="0"/>
        </w:rPr>
        <w:t>Los datos serán utilizados por UC Berkeley en un proyecto de investigación orientado a comprender la magnitud, la geografía y el impacto económico del desplazamiento en Venezuela tras los terremotos ocurridos el 24 de junio de 2026. Esta investigación se llevará a cabo en alianza con operadoras de telefonía móvil (MNO, por sus siglas en inglés) venezolanas, en apoyo al International Rescue Committee y a otras organizaciones que realizan labor humanitaria en Venezuela. El análisis de los datos de ubicación contenidos en los CDR permite obtener mejores estimaciones de la migración interna (y hacia el exterior) después del terremoto, de modo que los actores humanitarios puedan planificar mejor sus servicios médicos, de agua, saneamiento e higiene (WASH) y de protección, y dirigirlos hacia donde la necesidad sea mayor. Las agencias humanitarias han tenido dificultades para prever dónde deben asignar recursos con urgencia, y esto se hará más difícil a medida que las personas se reasienten.</w:t>
      </w:r>
    </w:p>
    <w:p w:rsidR="00000000" w:rsidDel="00000000" w:rsidP="00000000" w:rsidRDefault="00000000" w:rsidRPr="00000000" w14:paraId="00000057">
      <w:pPr>
        <w:spacing w:line="240" w:lineRule="auto"/>
        <w:jc w:val="both"/>
        <w:rPr>
          <w:sz w:val="22"/>
          <w:szCs w:val="22"/>
          <w:u w:val="none"/>
        </w:rPr>
      </w:pPr>
    </w:p>
    <w:p w:rsidR="00000000" w:rsidDel="00000000" w:rsidP="00000000" w:rsidRDefault="00000000" w:rsidRPr="00000000" w14:paraId="00000058">
      <w:pPr>
        <w:spacing w:line="240" w:lineRule="auto"/>
        <w:jc w:val="both"/>
        <w:rPr>
          <w:color w:val="222222"/>
          <w:sz w:val="22"/>
          <w:szCs w:val="22"/>
          <w:u w:val="none"/>
        </w:rPr>
      </w:pPr>
      <w:r w:rsidDel="00000000" w:rsidR="00000000" w:rsidRPr="00000000">
        <w:rPr>
          <w:i w:val="1"/>
          <w:iCs w:val="1"/>
          <w:sz w:val="22"/>
          <w:szCs w:val="22"/>
          <w:u w:val="none"/>
          <w:rtl w:val="0"/>
        </w:rPr>
        <w:t xml:space="preserve">Gestión de los Datos </w:t>
      </w:r>
    </w:p>
    <w:p w:rsidR="00000000" w:rsidDel="00000000" w:rsidP="00000000" w:rsidRDefault="00000000" w:rsidRPr="00000000" w14:paraId="00000059">
      <w:pPr>
        <w:shd w:fill="ffffff" w:val="clear"/>
        <w:spacing w:line="240" w:lineRule="auto"/>
        <w:rPr>
          <w:color w:val="222222"/>
          <w:sz w:val="22"/>
          <w:szCs w:val="22"/>
          <w:u w:val="none"/>
        </w:rPr>
      </w:pPr>
      <w:r w:rsidDel="00000000" w:rsidR="00000000" w:rsidRPr="00000000">
        <w:rPr>
          <w:color w:val="222222"/>
          <w:sz w:val="22"/>
          <w:szCs w:val="22"/>
          <w:u w:val="none"/>
          <w:rtl w:val="0"/>
        </w:rPr>
        <w:t>Esta investigación seguirá un proceso estándar de gestión de datos con todas las operadoras aliadas. Específicamente, la ejecución de esta investigación incluirá los siguientes pasos:</w:t>
      </w:r>
    </w:p>
    <w:p w:rsidR="00000000" w:rsidDel="00000000" w:rsidP="00000000" w:rsidRDefault="00000000" w:rsidRPr="00000000" w14:paraId="0000005A">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Las operadoras aliadas aplican el hash a la PII en sus propias instalaciones: </w:t>
      </w:r>
      <w:r w:rsidDel="00000000" w:rsidR="00000000" w:rsidRPr="00000000">
        <w:rPr>
          <w:color w:val="222222"/>
          <w:sz w:val="22"/>
          <w:szCs w:val="22"/>
          <w:u w:val="none"/>
          <w:rtl w:val="0"/>
        </w:rPr>
        <w:t xml:space="preserve"> Antes de la transferencia al Receptor, la operadora aplicará una función criptográfica de hash unidireccional a todos los identificadores directos contenidos en los Datos, incluidos, entre otros, los valores de cédula, MSISDN e IMEI. El hash se aplicará mediante HMAC-SHA256 o una función criptográfica de hash con clave equivalente, aprobada por escrito por ambas Partes. Toda la PII debe someterse a hash antes de la transferencia de los datos.</w:t>
      </w:r>
    </w:p>
    <w:p w:rsidR="00000000" w:rsidDel="00000000" w:rsidP="00000000" w:rsidRDefault="00000000" w:rsidRPr="00000000" w14:paraId="0000005B">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Transferencia de datos:  </w:t>
      </w:r>
      <w:r w:rsidDel="00000000" w:rsidR="00000000" w:rsidRPr="00000000">
        <w:rPr>
          <w:color w:val="222222"/>
          <w:sz w:val="22"/>
          <w:szCs w:val="22"/>
          <w:u w:val="none"/>
          <w:rtl w:val="0"/>
        </w:rPr>
        <w:t>Los Datos se transferirán mediante un canal cifrado que ofrezca, como mínimo, TLS 1.2 (preferiblemente TLS 1.3) o SFTP con autenticación de clave pública. Queda prohibida la transferencia por correo electrónico sin cifrar, servicios de intercambio de archivos de consumo masivo o medios físicos extraíbles, salvo aprobación previa y escrita de ambas Partes.</w:t>
      </w:r>
    </w:p>
    <w:p w:rsidR="00000000" w:rsidDel="00000000" w:rsidP="00000000" w:rsidRDefault="00000000" w:rsidRPr="00000000" w14:paraId="0000005C">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Cifrado en reposo.</w:t>
      </w:r>
      <w:r w:rsidDel="00000000" w:rsidR="00000000" w:rsidRPr="00000000">
        <w:rPr>
          <w:color w:val="222222"/>
          <w:sz w:val="22"/>
          <w:szCs w:val="22"/>
          <w:u w:val="none"/>
          <w:rtl w:val="0"/>
        </w:rPr>
        <w:t xml:space="preserve"> Los Datos se mantendrán cifrados en reposo en todo momento mediante AES-256 o un estándar equivalente, tanto durante cualquier almacenamiento transitorio previo a la transferencia como dentro del entorno de almacenamiento del Receptor.</w:t>
      </w:r>
    </w:p>
    <w:p w:rsidR="00000000" w:rsidDel="00000000" w:rsidP="00000000" w:rsidRDefault="00000000" w:rsidRPr="00000000" w14:paraId="0000005D">
      <w:pPr>
        <w:spacing w:line="240" w:lineRule="auto"/>
        <w:jc w:val="both"/>
        <w:rPr>
          <w:sz w:val="22"/>
          <w:szCs w:val="22"/>
          <w:u w:val="none"/>
        </w:rPr>
      </w:pPr>
    </w:p>
    <w:p w:rsidR="00000000" w:rsidDel="00000000" w:rsidP="00000000" w:rsidRDefault="00000000" w:rsidRPr="00000000" w14:paraId="0000005E">
      <w:pPr>
        <w:spacing w:line="240" w:lineRule="auto"/>
        <w:jc w:val="both"/>
        <w:rPr>
          <w:i w:val="1"/>
          <w:iCs w:val="1"/>
          <w:sz w:val="22"/>
          <w:szCs w:val="22"/>
          <w:u w:val="none"/>
        </w:rPr>
      </w:pPr>
      <w:r w:rsidDel="00000000" w:rsidR="00000000" w:rsidRPr="00000000">
        <w:rPr>
          <w:i w:val="1"/>
          <w:iCs w:val="1"/>
          <w:sz w:val="22"/>
          <w:szCs w:val="22"/>
          <w:u w:val="none"/>
          <w:rtl w:val="0"/>
        </w:rPr>
        <w:t>Datos Desidentificados sobre Sujetos Humanos</w:t>
      </w:r>
    </w:p>
    <w:p w:rsidR="00000000" w:rsidDel="00000000" w:rsidP="00000000" w:rsidRDefault="00000000" w:rsidRPr="00000000" w14:paraId="0000005F">
      <w:pPr>
        <w:numPr>
          <w:ilvl w:val="0"/>
          <w:numId w:val="6"/>
        </w:numPr>
        <w:spacing w:line="240" w:lineRule="auto"/>
        <w:ind w:left="720" w:hanging="360"/>
        <w:rPr>
          <w:sz w:val="22"/>
          <w:szCs w:val="22"/>
        </w:rPr>
      </w:pPr>
      <w:r w:rsidDel="00000000" w:rsidR="00000000" w:rsidRPr="00000000">
        <w:rPr>
          <w:sz w:val="22"/>
          <w:szCs w:val="22"/>
          <w:u w:val="none"/>
          <w:rtl w:val="0"/>
        </w:rPr>
        <w:t>Los Datos no incluirán información de identificación personal en forma no sometida a hash. El Proveedor suministrará información de identificación personal (PII) sometida a hash (descrita en el Anexo A), y el Proveedor no entregará, ni el Receptor solicitará, la clave del hash.</w:t>
      </w:r>
    </w:p>
    <w:p w:rsidR="00000000" w:rsidDel="00000000" w:rsidP="00000000" w:rsidRDefault="00000000" w:rsidRPr="00000000" w14:paraId="00000060">
      <w:pPr>
        <w:numPr>
          <w:ilvl w:val="0"/>
          <w:numId w:val="6"/>
        </w:numPr>
        <w:spacing w:line="240" w:lineRule="auto"/>
        <w:ind w:left="720" w:hanging="360"/>
        <w:rPr>
          <w:sz w:val="22"/>
          <w:szCs w:val="22"/>
        </w:rPr>
      </w:pPr>
      <w:r w:rsidDel="00000000" w:rsidR="00000000" w:rsidRPr="00000000">
        <w:rPr>
          <w:sz w:val="22"/>
          <w:szCs w:val="22"/>
          <w:u w:val="none"/>
          <w:rtl w:val="0"/>
        </w:rPr>
        <w:t xml:space="preserve">El Receptor no intentará descifrar ni reidentificar de ningún otro modo datos cifrados a nivel de persona. El Receptor no utilizará los Datos, ni por sí solos ni en combinación con cualquier otra información, para realizar esfuerzo alguno destinado a identificar o contactar a las personas que sean o puedan ser las fuentes de los Datos. </w:t>
      </w:r>
    </w:p>
    <w:p w:rsidR="00000000" w:rsidDel="00000000" w:rsidP="00000000" w:rsidRDefault="00000000" w:rsidRPr="00000000" w14:paraId="00000061">
      <w:pPr>
        <w:numPr>
          <w:ilvl w:val="0"/>
          <w:numId w:val="6"/>
        </w:numPr>
        <w:spacing w:line="240" w:lineRule="auto"/>
        <w:ind w:left="720" w:hanging="360"/>
        <w:rPr>
          <w:sz w:val="22"/>
          <w:szCs w:val="22"/>
        </w:rPr>
      </w:pPr>
      <w:r w:rsidDel="00000000" w:rsidR="00000000" w:rsidRPr="00000000">
        <w:rPr>
          <w:sz w:val="22"/>
          <w:szCs w:val="22"/>
          <w:u w:val="none"/>
          <w:rtl w:val="0"/>
        </w:rPr>
        <w:t>En caso de que el Receptor reciba inadvertidamente información identificable o identifique de algún modo a un sujeto, el Receptor lo notificará sin demora al Proveedor y seguirá las instrucciones escritas razonables de este, las cuales podrán incluir la devolución o destrucción de la información identificable.</w:t>
      </w:r>
    </w:p>
    <w:p w:rsidR="00000000" w:rsidDel="00000000" w:rsidP="00000000" w:rsidRDefault="00000000" w:rsidRPr="00000000" w14:paraId="00000062">
      <w:pPr>
        <w:numPr>
          <w:ilvl w:val="0"/>
          <w:numId w:val="6"/>
        </w:numPr>
        <w:spacing w:line="240" w:lineRule="auto"/>
        <w:ind w:left="720" w:hanging="360"/>
        <w:rPr>
          <w:sz w:val="22"/>
          <w:szCs w:val="22"/>
        </w:rPr>
      </w:pPr>
      <w:r w:rsidDel="00000000" w:rsidR="00000000" w:rsidRPr="00000000">
        <w:rPr>
          <w:sz w:val="22"/>
          <w:szCs w:val="22"/>
          <w:u w:val="none"/>
          <w:rtl w:val="0"/>
        </w:rPr>
        <w:t>Al suscribir el presente Acuerdo, el Receptor garantiza que se han cumplido las políticas institucionales pertinentes y las leyes y regulaciones federales, estatales o locales aplicables (de haberlas)</w:t>
      </w:r>
    </w:p>
    <w:p w:rsidR="00000000" w:rsidDel="00000000" w:rsidP="00000000" w:rsidRDefault="00000000" w:rsidRPr="00000000" w14:paraId="00000063">
      <w:pPr>
        <w:spacing w:line="240" w:lineRule="auto"/>
        <w:jc w:val="both"/>
        <w:rPr>
          <w:i w:val="1"/>
          <w:iCs w:val="1"/>
          <w:sz w:val="22"/>
          <w:szCs w:val="22"/>
          <w:u w:val="none"/>
        </w:rPr>
      </w:pPr>
    </w:p>
    <w:p w:rsidR="00000000" w:rsidDel="00000000" w:rsidP="00000000" w:rsidRDefault="00000000" w:rsidRPr="00000000" w14:paraId="00000064">
      <w:pPr>
        <w:spacing w:line="240" w:lineRule="auto"/>
        <w:jc w:val="both"/>
        <w:rPr>
          <w:i w:val="1"/>
          <w:iCs w:val="1"/>
          <w:sz w:val="22"/>
          <w:szCs w:val="22"/>
          <w:u w:val="none"/>
        </w:rPr>
      </w:pPr>
      <w:r w:rsidDel="00000000" w:rsidR="00000000" w:rsidRPr="00000000">
        <w:rPr>
          <w:i w:val="1"/>
          <w:iCs w:val="1"/>
          <w:sz w:val="22"/>
          <w:szCs w:val="22"/>
          <w:u w:val="none"/>
          <w:rtl w:val="0"/>
        </w:rPr>
        <w:t>Revisión del Comité de Ética (IRB)</w:t>
      </w:r>
    </w:p>
    <w:p w:rsidR="00000000" w:rsidDel="00000000" w:rsidP="00000000" w:rsidRDefault="00000000" w:rsidRPr="00000000" w14:paraId="00000065">
      <w:pPr>
        <w:shd w:fill="ffffff" w:val="clear"/>
        <w:spacing w:line="240" w:lineRule="auto"/>
        <w:rPr>
          <w:sz w:val="22"/>
          <w:szCs w:val="22"/>
          <w:u w:val="none"/>
        </w:rPr>
      </w:pPr>
      <w:r w:rsidDel="00000000" w:rsidR="00000000" w:rsidRPr="00000000">
        <w:rPr>
          <w:sz w:val="22"/>
          <w:szCs w:val="22"/>
          <w:u w:val="none"/>
          <w:rtl w:val="0"/>
        </w:rPr>
        <w:t>Esta Investigación no cumple con la definición de investigación con “sujetos humanos” establecida en las Regulaciones Federales, 45 CFR 46.102(f). La Oficina de Protecciones de la Investigación con Seres Humanos del Departamento de Salud y Servicios Humanos no considera que la investigación que involucra únicamente información privada o muestras codificadas constituya investigación con sujetos humanos si se cumplen las dos condiciones siguientes: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la información privada o las muestras no fueron recolectadas específicamente para el proyecto de investigación actualmente propuesto mediante una interacción o intervención con personas vivas; y,</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el o los investigadores no pueden determinar con facilidad la identidad de la o las personas a quienes corresponde la información privada o las muestras codificadas.</w:t>
      </w:r>
    </w:p>
    <w:p w:rsidR="00000000" w:rsidDel="00000000" w:rsidP="00000000" w:rsidRDefault="00000000" w:rsidRPr="00000000" w14:paraId="00000068">
      <w:pPr>
        <w:spacing w:line="240" w:lineRule="auto"/>
        <w:rPr>
          <w:sz w:val="22"/>
          <w:szCs w:val="22"/>
          <w:u w:val="none"/>
        </w:rPr>
      </w:pPr>
    </w:p>
    <w:p w:rsidR="00000000" w:rsidDel="00000000" w:rsidP="00000000" w:rsidRDefault="00000000" w:rsidRPr="00000000" w14:paraId="00000069">
      <w:pPr>
        <w:shd w:fill="ffffff" w:val="clear"/>
        <w:spacing w:line="240" w:lineRule="auto"/>
        <w:rPr>
          <w:sz w:val="22"/>
          <w:szCs w:val="22"/>
          <w:u w:val="none"/>
        </w:rPr>
      </w:pPr>
      <w:r w:rsidDel="00000000" w:rsidR="00000000" w:rsidRPr="00000000">
        <w:rPr>
          <w:sz w:val="22"/>
          <w:szCs w:val="22"/>
          <w:u w:val="none"/>
          <w:rtl w:val="0"/>
        </w:rPr>
        <w:t xml:space="preserve">En consecuencia, esta Investigación no se encuentra dentro del ámbito de competencia del Comité de la Oficina de Protección de Sujetos Humanos de UC Berkeley, y las actividades de Investigación podrán desarrollarse sin necesidad de aprobación adicional de dicha oficina. No obstante, si los parámetros de esta Investigación llegaran a cambiar de modo que incluyan investigación con sujetos humanos, el Investigador presentará un protocolo para su revisión y aprobación. </w:t>
      </w:r>
    </w:p>
    <w:p w:rsidR="00000000" w:rsidDel="00000000" w:rsidP="00000000" w:rsidRDefault="00000000" w:rsidRPr="00000000" w14:paraId="0000006A">
      <w:pPr>
        <w:spacing w:line="240" w:lineRule="auto"/>
        <w:jc w:val="both"/>
        <w:rPr>
          <w:sz w:val="22"/>
          <w:szCs w:val="22"/>
          <w:u w:val="none"/>
        </w:rPr>
      </w:pPr>
    </w:p>
    <w:p w:rsidR="00000000" w:rsidDel="00000000" w:rsidP="00000000" w:rsidRDefault="00000000" w:rsidRPr="00000000" w14:paraId="0000006B">
      <w:pPr>
        <w:spacing w:line="240" w:lineRule="auto"/>
        <w:jc w:val="both"/>
        <w:rPr>
          <w:i w:val="1"/>
          <w:iCs w:val="1"/>
          <w:sz w:val="22"/>
          <w:szCs w:val="22"/>
          <w:u w:val="none"/>
        </w:rPr>
      </w:pPr>
      <w:r w:rsidDel="00000000" w:rsidR="00000000" w:rsidRPr="00000000">
        <w:rPr>
          <w:i w:val="1"/>
          <w:iCs w:val="1"/>
          <w:sz w:val="22"/>
          <w:szCs w:val="22"/>
          <w:u w:val="none"/>
          <w:rtl w:val="0"/>
        </w:rPr>
        <w:t>Personas Autorizadas</w:t>
      </w:r>
    </w:p>
    <w:p w:rsidR="00000000" w:rsidDel="00000000" w:rsidP="00000000" w:rsidRDefault="00000000" w:rsidRPr="00000000" w14:paraId="0000006C">
      <w:pPr>
        <w:spacing w:line="240" w:lineRule="auto"/>
        <w:jc w:val="both"/>
        <w:rPr>
          <w:sz w:val="22"/>
          <w:szCs w:val="22"/>
          <w:u w:val="none"/>
        </w:rPr>
      </w:pPr>
      <w:r w:rsidDel="00000000" w:rsidR="00000000" w:rsidRPr="00000000">
        <w:rPr>
          <w:sz w:val="22"/>
          <w:szCs w:val="22"/>
          <w:u w:val="none"/>
          <w:rtl w:val="0"/>
        </w:rPr>
        <w:t>Únicamente las Personas Autorizadas tendrán acceso a los datos suministrados conforme al Anexo A. Las Personas Autorizadas incluyen al siguiente personal de investigación de UC Berkeley:</w:t>
      </w:r>
    </w:p>
    <w:p w:rsidR="00000000" w:rsidDel="00000000" w:rsidP="00000000" w:rsidRDefault="00000000" w:rsidRPr="00000000" w14:paraId="0000006D">
      <w:pPr>
        <w:numPr>
          <w:ilvl w:val="0"/>
          <w:numId w:val="7"/>
        </w:numPr>
        <w:spacing w:line="240" w:lineRule="auto"/>
        <w:ind w:left="720" w:hanging="360"/>
        <w:jc w:val="both"/>
        <w:rPr>
          <w:sz w:val="22"/>
          <w:szCs w:val="22"/>
        </w:rPr>
      </w:pPr>
      <w:r w:rsidDel="00000000" w:rsidR="00000000" w:rsidRPr="00000000">
        <w:rPr>
          <w:sz w:val="22"/>
          <w:szCs w:val="22"/>
          <w:u w:val="none"/>
          <w:rtl w:val="0"/>
        </w:rPr>
        <w:t>Joshua Blumenstock, Investigador Principal</w:t>
      </w:r>
    </w:p>
    <w:p w:rsidR="00000000" w:rsidDel="00000000" w:rsidP="00000000" w:rsidRDefault="00000000" w:rsidRPr="00000000" w14:paraId="0000006E">
      <w:pPr>
        <w:numPr>
          <w:ilvl w:val="0"/>
          <w:numId w:val="7"/>
        </w:numPr>
        <w:spacing w:line="240" w:lineRule="auto"/>
        <w:ind w:left="720" w:hanging="360"/>
        <w:jc w:val="both"/>
        <w:rPr>
          <w:sz w:val="22"/>
          <w:szCs w:val="22"/>
          <w:u w:val="none"/>
        </w:rPr>
      </w:pPr>
      <w:r w:rsidDel="00000000" w:rsidR="00000000" w:rsidRPr="00000000">
        <w:rPr>
          <w:sz w:val="22"/>
          <w:szCs w:val="22"/>
          <w:u w:val="none"/>
          <w:rtl w:val="0"/>
        </w:rPr>
        <w:t xml:space="preserve">Dorothy Kronick, Investigadora Principal </w:t>
      </w:r>
    </w:p>
    <w:p w:rsidR="00000000" w:rsidDel="00000000" w:rsidP="00000000" w:rsidRDefault="00000000" w:rsidRPr="00000000" w14:paraId="0000006F">
      <w:pPr>
        <w:numPr>
          <w:ilvl w:val="0"/>
          <w:numId w:val="7"/>
        </w:numPr>
        <w:spacing w:line="240" w:lineRule="auto"/>
        <w:ind w:left="720" w:hanging="360"/>
        <w:jc w:val="both"/>
        <w:rPr>
          <w:i w:val="1"/>
          <w:iCs w:val="1"/>
          <w:sz w:val="22"/>
          <w:szCs w:val="22"/>
        </w:rPr>
      </w:pPr>
      <w:r w:rsidDel="00000000" w:rsidR="00000000" w:rsidRPr="00000000">
        <w:rPr>
          <w:i w:val="1"/>
          <w:iCs w:val="1"/>
          <w:sz w:val="22"/>
          <w:szCs w:val="22"/>
          <w:u w:val="none"/>
          <w:rtl w:val="0"/>
        </w:rPr>
        <w:t>Investigadores adicionales por determinar; pendiente de confirmación</w:t>
      </w:r>
    </w:p>
    <w:p w:rsidR="00000000" w:rsidDel="00000000" w:rsidP="00000000" w:rsidRDefault="00000000" w:rsidRPr="00000000" w14:paraId="00000070">
      <w:pPr>
        <w:spacing w:line="240" w:lineRule="auto"/>
        <w:jc w:val="both"/>
        <w:rPr>
          <w:i w:val="1"/>
          <w:iCs w:val="1"/>
          <w:sz w:val="22"/>
          <w:szCs w:val="22"/>
          <w:u w:val="none"/>
        </w:rPr>
      </w:pPr>
    </w:p>
    <w:p w:rsidR="00000000" w:rsidDel="00000000" w:rsidP="00000000" w:rsidRDefault="00000000" w:rsidRPr="00000000" w14:paraId="00000071">
      <w:pPr>
        <w:spacing w:line="240" w:lineRule="auto"/>
        <w:jc w:val="both"/>
        <w:rPr>
          <w:i w:val="1"/>
          <w:iCs w:val="1"/>
          <w:sz w:val="22"/>
          <w:szCs w:val="22"/>
          <w:u w:val="none"/>
        </w:rPr>
      </w:pPr>
      <w:r w:rsidDel="00000000" w:rsidR="00000000" w:rsidRPr="00000000">
        <w:rPr>
          <w:i w:val="1"/>
          <w:iCs w:val="1"/>
          <w:sz w:val="22"/>
          <w:szCs w:val="22"/>
          <w:u w:val="none"/>
          <w:rtl w:val="0"/>
        </w:rPr>
        <w:t>Cronograma</w:t>
      </w:r>
    </w:p>
    <w:p w:rsidR="00000000" w:rsidDel="00000000" w:rsidP="00000000" w:rsidRDefault="00000000" w:rsidRPr="00000000" w14:paraId="00000072">
      <w:pPr>
        <w:spacing w:line="240" w:lineRule="auto"/>
        <w:jc w:val="both"/>
        <w:rPr>
          <w:sz w:val="22"/>
          <w:szCs w:val="22"/>
          <w:u w:val="none"/>
        </w:rPr>
      </w:pPr>
      <w:r w:rsidDel="00000000" w:rsidR="00000000" w:rsidRPr="00000000">
        <w:rPr>
          <w:sz w:val="22"/>
          <w:szCs w:val="22"/>
          <w:u w:val="none"/>
          <w:rtl w:val="0"/>
        </w:rPr>
        <w:t xml:space="preserve">Este proyecto de investigación comenzará en la fecha de entrada en vigor y concluirá veinticuatro (24) meses después. </w:t>
      </w:r>
    </w:p>
    <w:p w:rsidR="00000000" w:rsidDel="00000000" w:rsidP="00000000" w:rsidRDefault="00000000" w:rsidRPr="00000000" w14:paraId="00000073">
      <w:pPr>
        <w:spacing w:line="240" w:lineRule="auto"/>
        <w:jc w:val="both"/>
        <w:rPr>
          <w:i w:val="1"/>
          <w:iCs w:val="1"/>
          <w:sz w:val="22"/>
          <w:szCs w:val="22"/>
          <w:u w:val="none"/>
        </w:rPr>
      </w:pPr>
    </w:p>
    <w:p w:rsidR="00000000" w:rsidDel="00000000" w:rsidP="00000000" w:rsidRDefault="00000000" w:rsidRPr="00000000" w14:paraId="00000074">
      <w:pPr>
        <w:spacing w:line="240" w:lineRule="auto"/>
        <w:jc w:val="both"/>
        <w:rPr>
          <w:i w:val="1"/>
          <w:iCs w:val="1"/>
          <w:sz w:val="22"/>
          <w:szCs w:val="22"/>
          <w:u w:val="none"/>
        </w:rPr>
      </w:pPr>
      <w:r w:rsidDel="00000000" w:rsidR="00000000" w:rsidRPr="00000000">
        <w:rPr>
          <w:i w:val="1"/>
          <w:iCs w:val="1"/>
          <w:sz w:val="22"/>
          <w:szCs w:val="22"/>
          <w:u w:val="none"/>
          <w:rtl w:val="0"/>
        </w:rPr>
        <w:t>Productos y Publicaciones de la Investigación</w:t>
      </w:r>
    </w:p>
    <w:p w:rsidR="00000000" w:rsidDel="00000000" w:rsidP="00000000" w:rsidRDefault="00000000" w:rsidRPr="00000000" w14:paraId="00000075">
      <w:pPr>
        <w:spacing w:line="240" w:lineRule="auto"/>
        <w:jc w:val="both"/>
        <w:rPr>
          <w:sz w:val="22"/>
          <w:szCs w:val="22"/>
          <w:u w:val="none"/>
        </w:rPr>
      </w:pPr>
      <w:r w:rsidDel="00000000" w:rsidR="00000000" w:rsidRPr="00000000">
        <w:rPr>
          <w:sz w:val="22"/>
          <w:szCs w:val="22"/>
          <w:u w:val="none"/>
          <w:rtl w:val="0"/>
        </w:rPr>
        <w:t>Este proyecto dará lugar a los siguientes productos y publicaciones:</w:t>
      </w:r>
    </w:p>
    <w:p w:rsidR="00000000" w:rsidDel="00000000" w:rsidP="00000000" w:rsidRDefault="00000000" w:rsidRPr="00000000" w14:paraId="00000076">
      <w:pPr>
        <w:numPr>
          <w:ilvl w:val="0"/>
          <w:numId w:val="3"/>
        </w:numPr>
        <w:spacing w:line="240" w:lineRule="auto"/>
        <w:ind w:left="720" w:hanging="360"/>
        <w:jc w:val="both"/>
        <w:rPr>
          <w:sz w:val="22"/>
          <w:szCs w:val="22"/>
        </w:rPr>
      </w:pPr>
      <w:r w:rsidDel="00000000" w:rsidR="00000000" w:rsidRPr="00000000">
        <w:rPr>
          <w:sz w:val="22"/>
          <w:szCs w:val="22"/>
          <w:u w:val="none"/>
          <w:rtl w:val="0"/>
        </w:rPr>
        <w:t>Un informe para el International Rescue Committee y otras organizaciones del clúster, que detallará las tendencias de movilidad y desplazamiento a lo largo del tiempo tras el terremoto del 24 de junio de 2026</w:t>
      </w:r>
    </w:p>
    <w:p w:rsidR="00000000" w:rsidDel="00000000" w:rsidP="00000000" w:rsidRDefault="00000000" w:rsidRPr="00000000" w14:paraId="00000077">
      <w:pPr>
        <w:numPr>
          <w:ilvl w:val="0"/>
          <w:numId w:val="3"/>
        </w:numPr>
        <w:spacing w:line="240" w:lineRule="auto"/>
        <w:ind w:left="720" w:hanging="360"/>
        <w:jc w:val="both"/>
        <w:rPr>
          <w:sz w:val="22"/>
          <w:szCs w:val="22"/>
        </w:rPr>
      </w:pPr>
      <w:r w:rsidDel="00000000" w:rsidR="00000000" w:rsidRPr="00000000">
        <w:rPr>
          <w:sz w:val="22"/>
          <w:szCs w:val="22"/>
          <w:u w:val="none"/>
          <w:rtl w:val="0"/>
        </w:rPr>
        <w:t xml:space="preserve">Un artículo académico, que se referirá a las “operadoras aliadas” (MNO partners) sin usar nombres de empresas ni otros detalles que pudieran identificar a la compañía, sobre la magnitud y el impacto económico del desplazamiento tras el terremoto en Venezuela, disponible públicamente en </w:t>
      </w:r>
      <w:hyperlink r:id="rId8">
        <w:r w:rsidDel="00000000" w:rsidR="00000000" w:rsidRPr="00000000">
          <w:rPr>
            <w:color w:val="1155cc"/>
            <w:sz w:val="22"/>
            <w:szCs w:val="22"/>
            <w:rtl w:val="0"/>
          </w:rPr>
          <w:t xml:space="preserve">arXiv</w:t>
        </w:r>
      </w:hyperlink>
      <w:r w:rsidDel="00000000" w:rsidR="00000000" w:rsidRPr="00000000">
        <w:rPr>
          <w:sz w:val="22"/>
          <w:szCs w:val="22"/>
          <w:u w:val="none"/>
          <w:rtl w:val="0"/>
        </w:rPr>
        <w:t xml:space="preserve"> y en </w:t>
      </w:r>
      <w:hyperlink r:id="rId10">
        <w:r w:rsidDel="00000000" w:rsidR="00000000" w:rsidRPr="00000000">
          <w:rPr>
            <w:color w:val="1155cc"/>
            <w:sz w:val="22"/>
            <w:szCs w:val="22"/>
            <w:rtl w:val="0"/>
          </w:rPr>
          <w:t xml:space="preserve">la Serie de Documentos de Trabajo de CEGA</w:t>
        </w:r>
      </w:hyperlink>
    </w:p>
    <w:sectPr>
      <w:pgSz w:h="15840" w:w="12240" w:orient="portrait"/>
      <w:pgMar w:bottom="171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u w:val="singl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escholarship.org/uc/cega_wps" TargetMode="External"/><Relationship Id="rId9" Type="http://schemas.openxmlformats.org/officeDocument/2006/relationships/hyperlink" Target="https://escholarship.org/uc/cega_wp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TA@berkeley.edu" TargetMode="External"/><Relationship Id="rId8" Type="http://schemas.openxmlformats.org/officeDocument/2006/relationships/hyperlink" Target="https://ar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lpwstr>0</vt:lpwstr>
  </property>
  <property fmtid="{D5CDD505-2E9C-101B-9397-08002B2CF9AE}" pid="3" name="_ReviewCycleID">
    <vt:lpwstr>0</vt:lpwstr>
  </property>
  <property fmtid="{D5CDD505-2E9C-101B-9397-08002B2CF9AE}" pid="4" name="_NewReviewCycle">
    <vt:lpwstr>_NewReviewCycle</vt:lpwstr>
  </property>
  <property fmtid="{D5CDD505-2E9C-101B-9397-08002B2CF9AE}" pid="5" name="_EmailEntryID">
    <vt:lpwstr>0000000076CE78E5F848394B8B12C414E0E245FD070029B79D27DC800A4D8CFC3B16CC4AF62F00D147878123000029B79D27DC800A4D8CFC3B16CC4AF62F00D14788661A0000</vt:lpwstr>
  </property>
  <property fmtid="{D5CDD505-2E9C-101B-9397-08002B2CF9AE}" pid="6" name="_EmailStoreID0">
    <vt:lpwstr>0000000038A1BB1005E5101AA1BB08002B2A56C20000454D534D44422E444C4C00000000000000001B55FA20AA6611CD9BC800AA002FC45A0C0000006F75746C6F6F6B2E67756E6465722E636F6D002F6F3D4744535646482F6F753D45786368616E67652041646D696E6973747261746976652047726F75702028465944494</vt:lpwstr>
  </property>
  <property fmtid="{D5CDD505-2E9C-101B-9397-08002B2CF9AE}" pid="7" name="_EmailStoreID1">
    <vt:lpwstr>24F484632335350444C54292F636E3D526563697069656E74732F636E3D4461686E69204D6136613300</vt:lpwstr>
  </property>
  <property fmtid="{D5CDD505-2E9C-101B-9397-08002B2CF9AE}" pid="8" name="DocID">
    <vt:lpwstr>2787804.3</vt:lpwstr>
  </property>
  <property fmtid="{D5CDD505-2E9C-101B-9397-08002B2CF9AE}" pid="9" name="_ReviewingToolsShownOnce">
    <vt:lpwstr>_ReviewingToolsShownOnce</vt:lpwstr>
  </property>
</Properties>
</file>