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GCP Private Service Connect Infrastructure</w:t>
      </w:r>
    </w:p>
    <w:p>
      <w:r>
        <w:t>This document describes the PSC infrastructure that connects a ScyllaDB cluster running in a producer VPC to consumer applications in a separate VPC, using a Port Mapping NEG to route per-node traffic through a single PSC endpoint.</w:t>
      </w:r>
    </w:p>
    <w:p>
      <w:pPr>
        <w:pStyle w:val="Heading2"/>
      </w:pPr>
      <w:r>
        <w:t>Architecture Diagram</w:t>
      </w:r>
    </w:p>
    <w:p>
      <w:r>
        <w:drawing>
          <wp:inline xmlns:a="http://schemas.openxmlformats.org/drawingml/2006/main" xmlns:pic="http://schemas.openxmlformats.org/drawingml/2006/picture">
            <wp:extent cx="5943600" cy="40724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c_infra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Traffic Flow</w:t>
      </w:r>
    </w:p>
    <w:p>
      <w:r>
        <w:t>A client in the consumer VPC connects to the PSC endpoint IP (10.138.0.56) on a node-specific port. The traffic traverses Google’s backbone through the PSC tunnel and arrives at the producer-side Internal TCP/UDP Load Balancer. The Port Mapping NEG translates the destination port to the correct backend instance and port: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Client Connects 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Client Port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Routed 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Backend Port</w:t>
            </w:r>
          </w:p>
        </w:tc>
      </w:tr>
      <w:tr>
        <w:tc>
          <w:tcPr>
            <w:tcW w:type="dxa" w:w="2160"/>
          </w:tcPr>
          <w:p>
            <w:r>
              <w:t>10.138.0.56</w:t>
            </w:r>
          </w:p>
        </w:tc>
        <w:tc>
          <w:tcPr>
            <w:tcW w:type="dxa" w:w="2160"/>
          </w:tcPr>
          <w:p>
            <w:r>
              <w:t>9001</w:t>
            </w:r>
          </w:p>
        </w:tc>
        <w:tc>
          <w:tcPr>
            <w:tcW w:type="dxa" w:w="2160"/>
          </w:tcPr>
          <w:p>
            <w:r>
              <w:t>node-3 (us-west1-a)</w:t>
            </w:r>
          </w:p>
        </w:tc>
        <w:tc>
          <w:tcPr>
            <w:tcW w:type="dxa" w:w="2160"/>
          </w:tcPr>
          <w:p>
            <w:r>
              <w:t>9042</w:t>
            </w:r>
          </w:p>
        </w:tc>
      </w:tr>
      <w:tr>
        <w:tc>
          <w:tcPr>
            <w:tcW w:type="dxa" w:w="2160"/>
          </w:tcPr>
          <w:p>
            <w:r>
              <w:t>10.138.0.56</w:t>
            </w:r>
          </w:p>
        </w:tc>
        <w:tc>
          <w:tcPr>
            <w:tcW w:type="dxa" w:w="2160"/>
          </w:tcPr>
          <w:p>
            <w:r>
              <w:t>9002</w:t>
            </w:r>
          </w:p>
        </w:tc>
        <w:tc>
          <w:tcPr>
            <w:tcW w:type="dxa" w:w="2160"/>
          </w:tcPr>
          <w:p>
            <w:r>
              <w:t>node-4 (us-west1-b)</w:t>
            </w:r>
          </w:p>
        </w:tc>
        <w:tc>
          <w:tcPr>
            <w:tcW w:type="dxa" w:w="2160"/>
          </w:tcPr>
          <w:p>
            <w:r>
              <w:t>9042</w:t>
            </w:r>
          </w:p>
        </w:tc>
      </w:tr>
      <w:tr>
        <w:tc>
          <w:tcPr>
            <w:tcW w:type="dxa" w:w="2160"/>
          </w:tcPr>
          <w:p>
            <w:r>
              <w:t>10.138.0.56</w:t>
            </w:r>
          </w:p>
        </w:tc>
        <w:tc>
          <w:tcPr>
            <w:tcW w:type="dxa" w:w="2160"/>
          </w:tcPr>
          <w:p>
            <w:r>
              <w:t>9004</w:t>
            </w:r>
          </w:p>
        </w:tc>
        <w:tc>
          <w:tcPr>
            <w:tcW w:type="dxa" w:w="2160"/>
          </w:tcPr>
          <w:p>
            <w:r>
              <w:t>node-5 (us-west1-c)</w:t>
            </w:r>
          </w:p>
        </w:tc>
        <w:tc>
          <w:tcPr>
            <w:tcW w:type="dxa" w:w="2160"/>
          </w:tcPr>
          <w:p>
            <w:r>
              <w:t>9042</w:t>
            </w:r>
          </w:p>
        </w:tc>
      </w:tr>
    </w:tbl>
    <w:p>
      <w:pPr>
        <w:pStyle w:val="Heading2"/>
      </w:pPr>
      <w:r>
        <w:t>Producer Side Components</w:t>
      </w:r>
    </w:p>
    <w:p>
      <w:r>
        <w:rPr>
          <w:b/>
          <w:sz w:val="22"/>
        </w:rPr>
        <w:t>PSC NAT Subnet (10.0.201.0/24)</w:t>
      </w:r>
    </w:p>
    <w:p>
      <w:pPr>
        <w:ind w:left="432"/>
      </w:pPr>
      <w:r>
        <w:t>Dedicated subnet used by the PSC service attachment for network address translation. Traffic from consumers arrives with source IPs from this range.</w:t>
      </w:r>
    </w:p>
    <w:p>
      <w:r>
        <w:rPr>
          <w:b/>
          <w:sz w:val="22"/>
        </w:rPr>
        <w:t>Port Mapping NEG (GCE_VM_IP_PORTMAP (regional))</w:t>
      </w:r>
    </w:p>
    <w:p>
      <w:pPr>
        <w:ind w:left="432"/>
      </w:pPr>
      <w:r>
        <w:t>Regional Network Endpoint Group that maps client-facing ports to specific backend instances. Each endpoint entry maps one client port to one instance:port pair. Key constraint: each instance can only appear once in the NEG.</w:t>
      </w:r>
    </w:p>
    <w:p>
      <w:r>
        <w:rPr>
          <w:b/>
          <w:sz w:val="22"/>
        </w:rPr>
        <w:t>Backend Service (No health checks)</w:t>
      </w:r>
    </w:p>
    <w:p>
      <w:pPr>
        <w:ind w:left="432"/>
      </w:pPr>
      <w:r>
        <w:t>Regional backend service with the port mapping NEG attached. Health checks are not supported with port mapping NEG backends.</w:t>
      </w:r>
    </w:p>
    <w:p>
      <w:r>
        <w:rPr>
          <w:b/>
          <w:sz w:val="22"/>
        </w:rPr>
        <w:t>Forwarding Rule (Internal TCP/UDP LB, all ports)</w:t>
      </w:r>
    </w:p>
    <w:p>
      <w:pPr>
        <w:ind w:left="432"/>
      </w:pPr>
      <w:r>
        <w:t>Internal passthrough load balancer forwarding rule configured with all_ports=true. Required as the target for the PSC service attachment.</w:t>
      </w:r>
    </w:p>
    <w:p>
      <w:r>
        <w:rPr>
          <w:b/>
          <w:sz w:val="22"/>
        </w:rPr>
        <w:t>Service Attachment (scylla-psc-sa)</w:t>
      </w:r>
    </w:p>
    <w:p>
      <w:pPr>
        <w:ind w:left="432"/>
      </w:pPr>
      <w:r>
        <w:t>PSC service attachment that exposes the forwarding rule to consumer VPCs. Uses the NAT subnet for address translation. Connection preference: ACCEPT_AUTOMATIC.</w:t>
      </w:r>
    </w:p>
    <w:p>
      <w:r>
        <w:rPr>
          <w:b/>
          <w:sz w:val="22"/>
        </w:rPr>
        <w:t>Firewall Rule (Allow 10.0.201.0/24 → TCP:9042)</w:t>
      </w:r>
    </w:p>
    <w:p>
      <w:pPr>
        <w:ind w:left="432"/>
      </w:pPr>
      <w:r>
        <w:t>Permits traffic from the PSC NAT subnet to reach the ScyllaDB nodes on port 9042. Without this rule, PSC traffic is silently dropped.</w:t>
      </w:r>
    </w:p>
    <w:p>
      <w:pPr>
        <w:pStyle w:val="Heading2"/>
      </w:pPr>
      <w:r>
        <w:t>Consumer Side Components</w:t>
      </w:r>
    </w:p>
    <w:p>
      <w:r>
        <w:rPr>
          <w:b/>
          <w:sz w:val="22"/>
        </w:rPr>
        <w:t>PSC Consumer Endpoint (IP: 10.138.0.56)</w:t>
      </w:r>
    </w:p>
    <w:p>
      <w:pPr>
        <w:ind w:left="432"/>
      </w:pPr>
      <w:r>
        <w:t>A forwarding rule in the consumer VPC that targets the producer’s service attachment. Allocated a static internal IP with GCE_ENDPOINT purpose.</w:t>
      </w:r>
    </w:p>
    <w:p>
      <w:r>
        <w:rPr>
          <w:b/>
          <w:sz w:val="22"/>
        </w:rPr>
        <w:t>Private DNS Zone (cluster-1.scylladb.com)</w:t>
      </w:r>
    </w:p>
    <w:p>
      <w:pPr>
        <w:ind w:left="432"/>
      </w:pPr>
      <w:r>
        <w:t>A private DNS zone visible within the consumer VPC. Allows clients to use hostnames instead of raw IPs.</w:t>
      </w:r>
    </w:p>
    <w:p>
      <w:r>
        <w:rPr>
          <w:b/>
          <w:sz w:val="22"/>
        </w:rPr>
        <w:t>DNS A Records (Root + per-node)</w:t>
      </w:r>
    </w:p>
    <w:p>
      <w:pPr>
        <w:ind w:left="432"/>
      </w:pPr>
      <w:r>
        <w:t>All records point to the PSC endpoint IP (10.138.0.56):</w:t>
        <w:br/>
        <w:t>• cluster-1.scylladb.com → 10.138.0.56</w:t>
        <w:br/>
        <w:t>• node-0.cluster-1.scylladb.com → 10.138.0.56</w:t>
        <w:br/>
        <w:t>• node-1.cluster-1.scylladb.com → 10.138.0.56</w:t>
        <w:br/>
        <w:t>• node-2.cluster-1.scylladb.com → 10.138.0.56</w:t>
      </w:r>
    </w:p>
    <w:p>
      <w:r>
        <w:br w:type="page"/>
      </w:r>
    </w:p>
    <w:p>
      <w:pPr>
        <w:pStyle w:val="Heading1"/>
      </w:pPr>
      <w:r>
        <w:t>Port Mapping NEG: The Round-Robin Problem</w:t>
      </w:r>
    </w:p>
    <w:p>
      <w:r>
        <w:t>The core limitation is straightforward: in a GCE_VM_IP_PORTMAP NEG, each VM instance can only appear once.</w:t>
      </w:r>
    </w:p>
    <w:p>
      <w:pPr>
        <w:pStyle w:val="Heading2"/>
      </w:pPr>
      <w:r>
        <w:t>What We Have Today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Client 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Backend Instance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Backend Port</w:t>
            </w:r>
          </w:p>
        </w:tc>
      </w:tr>
      <w:tr>
        <w:tc>
          <w:tcPr>
            <w:tcW w:type="dxa" w:w="2880"/>
          </w:tcPr>
          <w:p>
            <w:r>
              <w:t>9001</w:t>
            </w:r>
          </w:p>
        </w:tc>
        <w:tc>
          <w:tcPr>
            <w:tcW w:type="dxa" w:w="2880"/>
          </w:tcPr>
          <w:p>
            <w:r>
              <w:t>node-3 (us-west1-a)</w:t>
            </w:r>
          </w:p>
        </w:tc>
        <w:tc>
          <w:tcPr>
            <w:tcW w:type="dxa" w:w="2880"/>
          </w:tcPr>
          <w:p>
            <w:r>
              <w:t>9042</w:t>
            </w:r>
          </w:p>
        </w:tc>
      </w:tr>
      <w:tr>
        <w:tc>
          <w:tcPr>
            <w:tcW w:type="dxa" w:w="2880"/>
          </w:tcPr>
          <w:p>
            <w:r>
              <w:t>9002</w:t>
            </w:r>
          </w:p>
        </w:tc>
        <w:tc>
          <w:tcPr>
            <w:tcW w:type="dxa" w:w="2880"/>
          </w:tcPr>
          <w:p>
            <w:r>
              <w:t>node-4 (us-west1-b)</w:t>
            </w:r>
          </w:p>
        </w:tc>
        <w:tc>
          <w:tcPr>
            <w:tcW w:type="dxa" w:w="2880"/>
          </w:tcPr>
          <w:p>
            <w:r>
              <w:t>9042</w:t>
            </w:r>
          </w:p>
        </w:tc>
      </w:tr>
      <w:tr>
        <w:tc>
          <w:tcPr>
            <w:tcW w:type="dxa" w:w="2880"/>
          </w:tcPr>
          <w:p>
            <w:r>
              <w:t>9004</w:t>
            </w:r>
          </w:p>
        </w:tc>
        <w:tc>
          <w:tcPr>
            <w:tcW w:type="dxa" w:w="2880"/>
          </w:tcPr>
          <w:p>
            <w:r>
              <w:t>node-5 (us-west1-c)</w:t>
            </w:r>
          </w:p>
        </w:tc>
        <w:tc>
          <w:tcPr>
            <w:tcW w:type="dxa" w:w="2880"/>
          </w:tcPr>
          <w:p>
            <w:r>
              <w:t>9042</w:t>
            </w:r>
          </w:p>
        </w:tc>
      </w:tr>
    </w:tbl>
    <w:p>
      <w:r>
        <w:t>This works perfectly — each instance has exactly one mapping entry.</w:t>
      </w:r>
    </w:p>
    <w:p>
      <w:pPr>
        <w:pStyle w:val="Heading2"/>
      </w:pPr>
      <w:r>
        <w:t>What Round-Robin on Port 9042 Would Require</w:t>
      </w:r>
    </w:p>
    <w:p>
      <w:r>
        <w:t>To have PSC_IP:9042 load-balance across all 3 nodes, we would need to add three more endpoint mappings: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Client Port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Backend Instance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Backend Port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t>9042</w:t>
            </w:r>
          </w:p>
        </w:tc>
        <w:tc>
          <w:tcPr>
            <w:tcW w:type="dxa" w:w="2160"/>
          </w:tcPr>
          <w:p>
            <w:r>
              <w:t>node-3</w:t>
            </w:r>
          </w:p>
        </w:tc>
        <w:tc>
          <w:tcPr>
            <w:tcW w:type="dxa" w:w="2160"/>
          </w:tcPr>
          <w:p>
            <w:r>
              <w:t>9042</w:t>
            </w:r>
          </w:p>
        </w:tc>
        <w:tc>
          <w:tcPr>
            <w:tcW w:type="dxa" w:w="2160"/>
          </w:tcPr>
          <w:p>
            <w:r>
              <w:rPr>
                <w:color w:val="CC0000"/>
              </w:rPr>
              <w:t>FAILS: node-3 already has a mapping</w:t>
            </w:r>
          </w:p>
        </w:tc>
      </w:tr>
      <w:tr>
        <w:tc>
          <w:tcPr>
            <w:tcW w:type="dxa" w:w="2160"/>
          </w:tcPr>
          <w:p>
            <w:r>
              <w:t>9042</w:t>
            </w:r>
          </w:p>
        </w:tc>
        <w:tc>
          <w:tcPr>
            <w:tcW w:type="dxa" w:w="2160"/>
          </w:tcPr>
          <w:p>
            <w:r>
              <w:t>node-4</w:t>
            </w:r>
          </w:p>
        </w:tc>
        <w:tc>
          <w:tcPr>
            <w:tcW w:type="dxa" w:w="2160"/>
          </w:tcPr>
          <w:p>
            <w:r>
              <w:t>9042</w:t>
            </w:r>
          </w:p>
        </w:tc>
        <w:tc>
          <w:tcPr>
            <w:tcW w:type="dxa" w:w="2160"/>
          </w:tcPr>
          <w:p>
            <w:r>
              <w:rPr>
                <w:color w:val="CC0000"/>
              </w:rPr>
              <w:t>FAILS: node-4 already has a mapping</w:t>
            </w:r>
          </w:p>
        </w:tc>
      </w:tr>
      <w:tr>
        <w:tc>
          <w:tcPr>
            <w:tcW w:type="dxa" w:w="2160"/>
          </w:tcPr>
          <w:p>
            <w:r>
              <w:t>9042</w:t>
            </w:r>
          </w:p>
        </w:tc>
        <w:tc>
          <w:tcPr>
            <w:tcW w:type="dxa" w:w="2160"/>
          </w:tcPr>
          <w:p>
            <w:r>
              <w:t>node-5</w:t>
            </w:r>
          </w:p>
        </w:tc>
        <w:tc>
          <w:tcPr>
            <w:tcW w:type="dxa" w:w="2160"/>
          </w:tcPr>
          <w:p>
            <w:r>
              <w:t>9042</w:t>
            </w:r>
          </w:p>
        </w:tc>
        <w:tc>
          <w:tcPr>
            <w:tcW w:type="dxa" w:w="2160"/>
          </w:tcPr>
          <w:p>
            <w:r>
              <w:rPr>
                <w:color w:val="CC0000"/>
              </w:rPr>
              <w:t>FAILS: node-5 already has a mapping</w:t>
            </w:r>
          </w:p>
        </w:tc>
      </w:tr>
    </w:tbl>
    <w:p>
      <w:r>
        <w:t>GCP returns INVALID_ARGUMENT for every one of these because node-3, node-4, and node-5 already exist in the NEG. The constraint is per-instance, not per-port — you cannot add a second row for the same VM regardless of which ports you use.</w:t>
      </w:r>
    </w:p>
    <w:p>
      <w:pPr>
        <w:pStyle w:val="Heading2"/>
      </w:pPr>
      <w:r>
        <w:t>Why GCP Designed It This Way</w:t>
      </w:r>
    </w:p>
    <w:p>
      <w:r>
        <w:t>Port mapping NEGs are implemented as a 1:1 lookup table: (client_port) → (instance, backend_port). The NEG essentially acts as a port-based router, not a load balancer. There is no mechanism for multiple instances to share the same client-facing port because that would require load-balancing logic (health checks, session affinity, etc.) that port mapping NEGs do not have.</w:t>
      </w:r>
    </w:p>
    <w:p>
      <w:pPr>
        <w:pStyle w:val="Heading2"/>
      </w:pPr>
      <w:r>
        <w:t>Workarounds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Approach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Trade-off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CQL driver with all 3 ports</w:t>
            </w:r>
          </w:p>
        </w:tc>
        <w:tc>
          <w:tcPr>
            <w:tcW w:type="dxa" w:w="4320"/>
          </w:tcPr>
          <w:p>
            <w:r>
              <w:t>Driver connects to 9001, 9002, 9004 directly — most ScyllaDB drivers handle multi-node topology natively. This is the recommended approach.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Proxy VM</w:t>
            </w:r>
          </w:p>
        </w:tc>
        <w:tc>
          <w:tcPr>
            <w:tcW w:type="dxa" w:w="4320"/>
          </w:tcPr>
          <w:p>
            <w:r>
              <w:t>Run a reverse proxy (e.g., HAProxy) on a dedicated VM that listens on 9042 and round-robins to the 3 nodes. Adds a hop and a single point of failure.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Multiple PSC endpoints</w:t>
            </w:r>
          </w:p>
        </w:tc>
        <w:tc>
          <w:tcPr>
            <w:tcW w:type="dxa" w:w="4320"/>
          </w:tcPr>
          <w:p>
            <w:r>
              <w:t>One PSC endpoint per node, each on port 9042. Consumer must create 3 forwarding rules + 3 IPs.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Second port mapping NEG + second PSC</w:t>
            </w:r>
          </w:p>
        </w:tc>
        <w:tc>
          <w:tcPr>
            <w:tcW w:type="dxa" w:w="4320"/>
          </w:tcPr>
          <w:p>
            <w:r>
              <w:t>Create a separate NEG with just 9042→node-X:9042 for one node, exposed via a second service attachment. Does not give true round-robin.</w:t>
            </w:r>
          </w:p>
        </w:tc>
      </w:tr>
    </w:tbl>
    <w:p>
      <w:pPr>
        <w:pStyle w:val="Heading2"/>
      </w:pPr>
      <w:r>
        <w:t>Recommendation for ScyllaDB</w:t>
      </w:r>
    </w:p>
    <w:p>
      <w:r>
        <w:t>Use the per-node ports (9001, 9002, 9004) as contact points in the CQL driver. The driver discovers the full topology after initial connection and routes queries to the correct node automatically — round-robin on the connection port is unnecessary.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