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σyy는 약 54 MPa로, 구멍에서 충분히 떨어진 공칭응력(약 19.6 MPa)의 약 2.75배에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0.05~0.30으로 변화시키며 응력집중계수(SCF=σyy,max/σ_nominal)를 분석하였다. 응력 구배가 급격한 홀 가장자리에서의 정확도를 높이기 위해 홀 경계 주변 메쉬를 점진적으로 조밀화하였으며, 공칭응력은 gross 단면(폭 W)과 net 단면(폭 W−2r) 두 기준으로 각각 계산하였다.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σyy,max [MPa]</w:t>
            </w:r>
          </w:p>
        </w:tc>
        <w:tc>
          <w:tcPr>
            <w:tcW w:type="dxa" w:w="1994"/>
          </w:tcPr>
          <w:p>
            <w:pPr>
              <w:jc w:val="center"/>
            </w:pPr>
            <w:r>
              <w:rPr>
                <w:rFonts w:ascii="Malgun Gothic" w:hAnsi="Malgun Gothic" w:eastAsia="맑은 고딕"/>
                <w:b/>
                <w:sz w:val="18"/>
              </w:rPr>
              <w:t>SCF (gross)</w:t>
            </w:r>
          </w:p>
        </w:tc>
        <w:tc>
          <w:tcPr>
            <w:tcW w:type="dxa" w:w="1994"/>
          </w:tcPr>
          <w:p>
            <w:pPr>
              <w:jc w:val="center"/>
            </w:pPr>
            <w:r>
              <w:rPr>
                <w:rFonts w:ascii="Malgun Gothic" w:hAnsi="Malgun Gothic" w:eastAsia="맑은 고딕"/>
                <w:b/>
                <w:sz w:val="18"/>
              </w:rPr>
              <w:t>SCF (net)</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62.0</w:t>
            </w:r>
          </w:p>
        </w:tc>
        <w:tc>
          <w:tcPr>
            <w:tcW w:type="dxa" w:w="1994"/>
          </w:tcPr>
          <w:p>
            <w:pPr>
              <w:jc w:val="center"/>
            </w:pPr>
            <w:r>
              <w:rPr>
                <w:rFonts w:ascii="Malgun Gothic" w:hAnsi="Malgun Gothic" w:eastAsia="맑은 고딕"/>
                <w:sz w:val="18"/>
              </w:rPr>
              <w:t>2.91</w:t>
            </w:r>
          </w:p>
        </w:tc>
        <w:tc>
          <w:tcPr>
            <w:tcW w:type="dxa" w:w="1994"/>
          </w:tcPr>
          <w:p>
            <w:pPr>
              <w:jc w:val="center"/>
            </w:pPr>
            <w:r>
              <w:rPr>
                <w:rFonts w:ascii="Malgun Gothic" w:hAnsi="Malgun Gothic" w:eastAsia="맑은 고딕"/>
                <w:sz w:val="18"/>
              </w:rPr>
              <w:t>2.76</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58.6</w:t>
            </w:r>
          </w:p>
        </w:tc>
        <w:tc>
          <w:tcPr>
            <w:tcW w:type="dxa" w:w="1994"/>
          </w:tcPr>
          <w:p>
            <w:pPr>
              <w:jc w:val="center"/>
            </w:pPr>
            <w:r>
              <w:rPr>
                <w:rFonts w:ascii="Malgun Gothic" w:hAnsi="Malgun Gothic" w:eastAsia="맑은 고딕"/>
                <w:sz w:val="18"/>
              </w:rPr>
              <w:t>2.84</w:t>
            </w:r>
          </w:p>
        </w:tc>
        <w:tc>
          <w:tcPr>
            <w:tcW w:type="dxa" w:w="1994"/>
          </w:tcPr>
          <w:p>
            <w:pPr>
              <w:jc w:val="center"/>
            </w:pPr>
            <w:r>
              <w:rPr>
                <w:rFonts w:ascii="Malgun Gothic" w:hAnsi="Malgun Gothic" w:eastAsia="맑은 고딕"/>
                <w:sz w:val="18"/>
              </w:rPr>
              <w:t>2.56</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54.0</w:t>
            </w:r>
          </w:p>
        </w:tc>
        <w:tc>
          <w:tcPr>
            <w:tcW w:type="dxa" w:w="1994"/>
          </w:tcPr>
          <w:p>
            <w:pPr>
              <w:jc w:val="center"/>
            </w:pPr>
            <w:r>
              <w:rPr>
                <w:rFonts w:ascii="Malgun Gothic" w:hAnsi="Malgun Gothic" w:eastAsia="맑은 고딕"/>
                <w:sz w:val="18"/>
              </w:rPr>
              <w:t>2.75</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49.6</w:t>
            </w:r>
          </w:p>
        </w:tc>
        <w:tc>
          <w:tcPr>
            <w:tcW w:type="dxa" w:w="1994"/>
          </w:tcPr>
          <w:p>
            <w:pPr>
              <w:jc w:val="center"/>
            </w:pPr>
            <w:r>
              <w:rPr>
                <w:rFonts w:ascii="Malgun Gothic" w:hAnsi="Malgun Gothic" w:eastAsia="맑은 고딕"/>
                <w:sz w:val="18"/>
              </w:rPr>
              <w:t>2.68</w:t>
            </w:r>
          </w:p>
        </w:tc>
        <w:tc>
          <w:tcPr>
            <w:tcW w:type="dxa" w:w="1994"/>
          </w:tcPr>
          <w:p>
            <w:pPr>
              <w:jc w:val="center"/>
            </w:pPr>
            <w:r>
              <w:rPr>
                <w:rFonts w:ascii="Malgun Gothic" w:hAnsi="Malgun Gothic" w:eastAsia="맑은 고딕"/>
                <w:sz w:val="18"/>
              </w:rPr>
              <w:t>2.14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45.7</w:t>
            </w:r>
          </w:p>
        </w:tc>
        <w:tc>
          <w:tcPr>
            <w:tcW w:type="dxa" w:w="1994"/>
          </w:tcPr>
          <w:p>
            <w:pPr>
              <w:jc w:val="center"/>
            </w:pPr>
            <w:r>
              <w:rPr>
                <w:rFonts w:ascii="Malgun Gothic" w:hAnsi="Malgun Gothic" w:eastAsia="맑은 고딕"/>
                <w:sz w:val="18"/>
              </w:rPr>
              <w:t>2.64</w:t>
            </w:r>
          </w:p>
        </w:tc>
        <w:tc>
          <w:tcPr>
            <w:tcW w:type="dxa" w:w="1994"/>
          </w:tcPr>
          <w:p>
            <w:pPr>
              <w:jc w:val="center"/>
            </w:pPr>
            <w:r>
              <w:rPr>
                <w:rFonts w:ascii="Malgun Gothic" w:hAnsi="Malgun Gothic" w:eastAsia="맑은 고딕"/>
                <w:sz w:val="18"/>
              </w:rPr>
              <w:t>1.98</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42.9</w:t>
            </w:r>
          </w:p>
        </w:tc>
        <w:tc>
          <w:tcPr>
            <w:tcW w:type="dxa" w:w="1994"/>
          </w:tcPr>
          <w:p>
            <w:pPr>
              <w:jc w:val="center"/>
            </w:pPr>
            <w:r>
              <w:rPr>
                <w:rFonts w:ascii="Malgun Gothic" w:hAnsi="Malgun Gothic" w:eastAsia="맑은 고딕"/>
                <w:sz w:val="18"/>
              </w:rPr>
              <w:t>2.66</w:t>
            </w:r>
          </w:p>
        </w:tc>
        <w:tc>
          <w:tcPr>
            <w:tcW w:type="dxa" w:w="1994"/>
          </w:tcPr>
          <w:p>
            <w:pPr>
              <w:jc w:val="center"/>
            </w:pPr>
            <w:r>
              <w:rPr>
                <w:rFonts w:ascii="Malgun Gothic" w:hAnsi="Malgun Gothic" w:eastAsia="맑은 고딕"/>
                <w:sz w:val="18"/>
              </w:rPr>
              <w:t>1.86</w:t>
            </w:r>
          </w:p>
        </w:tc>
      </w:tr>
    </w:tbl>
    <w:p>
      <w:pPr>
        <w:jc w:val="center"/>
      </w:pPr>
      <w:r>
        <w:drawing>
          <wp:inline xmlns:a="http://schemas.openxmlformats.org/drawingml/2006/main" xmlns:pic="http://schemas.openxmlformats.org/drawingml/2006/picture">
            <wp:extent cx="3600000" cy="2400000"/>
            <wp:docPr id="3" name="Picture 3"/>
            <wp:cNvGraphicFramePr>
              <a:graphicFrameLocks noChangeAspect="1"/>
            </wp:cNvGraphicFramePr>
            <a:graphic>
              <a:graphicData uri="http://schemas.openxmlformats.org/drawingml/2006/picture">
                <pic:pic>
                  <pic:nvPicPr>
                    <pic:cNvPr id="0" name="SCF_vs_holesize.png"/>
                    <pic:cNvPicPr/>
                  </pic:nvPicPr>
                  <pic:blipFill>
                    <a:blip r:embed="rId11"/>
                    <a:stretch>
                      <a:fillRect/>
                    </a:stretch>
                  </pic:blipFill>
                  <pic:spPr>
                    <a:xfrm>
                      <a:off x="0" y="0"/>
                      <a:ext cx="3600000" cy="2400000"/>
                    </a:xfrm>
                    <a:prstGeom prst="rect"/>
                  </pic:spPr>
                </pic:pic>
              </a:graphicData>
            </a:graphic>
          </wp:inline>
        </w:drawing>
      </w:r>
    </w:p>
    <w:p>
      <w:pPr>
        <w:jc w:val="center"/>
      </w:pPr>
      <w:r>
        <w:rPr>
          <w:rFonts w:ascii="Malgun Gothic" w:hAnsi="Malgun Gothic" w:eastAsia="맑은 고딕"/>
          <w:color w:val="555555"/>
          <w:sz w:val="17"/>
        </w:rPr>
        <w:t>그림 3. 구멍 크기(2r/W)에 따른 응력집중계수 변화</w:t>
      </w:r>
    </w:p>
    <w:p>
      <w:r>
        <w:rPr>
          <w:rFonts w:ascii="Malgun Gothic" w:hAnsi="Malgun Gothic" w:eastAsia="맑은 고딕"/>
          <w:sz w:val="20"/>
        </w:rPr>
        <w:t>[결과 해석] 첫째, 가장 작은 구멍(r=0.05)에서 SCF(gross) ≈ 2.91 로, 무한 평판·소형 원공의 고전 Kirsch 이론값 3에 거의 수렴하였다. 이는 본 유한요소 모델이 물리적으로 타당하게 작동함을 검증해 주는 핵심 결과다. 둘째, 구멍이 커질수록 첨두 응력 σyy,max 자체는 62→43 MPa로 감소하였는데, 이는 변위 구속 조건에서 구멍이 커질수록 판이 유연해져 전달되는 하중(반력)이 줄기 때문이다. 셋째, net 단면 기준 SCF는 2.76→1.86으로 단조 감소하였다. 이는 구멍이 커질수록 단면 응력 분포가 상대적으로 균등해지는 효과이며, 동시에 본 시편은 높이 H가 짧고 구멍이 상·하 경계에 근접해 무한 스트립 가정에서 벗어나는 유한 효과가 반영된 것이다. (유한 폭 평판에서는 보정계수로 인해 d/W 증가 시 gross 기준 SCF가 커지는 경향이 알려져 있으나, 짧은 시편·변위구속이라는 본 조건에서는 직접 비교 시 주의가 필요하다.)</w:t>
      </w:r>
    </w:p>
    <w:p>
      <w:r>
        <w:rPr>
          <w:rFonts w:ascii="Malgun Gothic" w:hAnsi="Malgun Gothic" w:eastAsia="맑은 고딕"/>
          <w:sz w:val="20"/>
        </w:rPr>
        <w:t>[해석상 고려사항] 본 해석에 사용된 CST(상수변형률 삼각형) 요소는 요소당 응력이 일정해 응력 구배가 큰 홀 가장자리에서 첨두 응력을 과소평가하는 경향이 있다. 실제로 홀 주변 메쉬를 조밀화하자 SCF가 약 2.5에서 2.9로 증가하여 이론값 3에 더 근접하였다. 더 높은 정확도가 필요하다면 2차(quadratic) 요소 도입이나 추가 메쉬 세분화가 효과적일 것으로 판단된다.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pStyle w:val="ListBullet"/>
        <w:spacing w:after="40"/>
      </w:pPr>
      <w:r>
        <w:rPr>
          <w:rFonts w:ascii="Malgun Gothic" w:hAnsi="Malgun Gothic" w:eastAsia="맑은 고딕"/>
          <w:sz w:val="20"/>
        </w:rPr>
        <w:t>학습 곡선(그림 4): Training MAPE는 epoch 증가에 따라 빠르게 감소하여 ~1%로 수렴, Validation MAPE도 낮은 수준에서 안정화되어 양호하게 학습됨.</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597500"/>
                  <wp:docPr id="4" name="Picture 4"/>
                  <wp:cNvGraphicFramePr>
                    <a:graphicFrameLocks noChangeAspect="1"/>
                  </wp:cNvGraphicFramePr>
                  <a:graphic>
                    <a:graphicData uri="http://schemas.openxmlformats.org/drawingml/2006/picture">
                      <pic:pic>
                        <pic:nvPicPr>
                          <pic:cNvPr id="0" name="E_mape_curve.png"/>
                          <pic:cNvPicPr/>
                        </pic:nvPicPr>
                        <pic:blipFill>
                          <a:blip r:embed="rId12"/>
                          <a:stretch>
                            <a:fillRect/>
                          </a:stretch>
                        </pic:blipFill>
                        <pic:spPr>
                          <a:xfrm>
                            <a:off x="0" y="0"/>
                            <a:ext cx="2556000" cy="15975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2556000"/>
                  <wp:docPr id="5" name="Picture 5"/>
                  <wp:cNvGraphicFramePr>
                    <a:graphicFrameLocks noChangeAspect="1"/>
                  </wp:cNvGraphicFramePr>
                  <a:graphic>
                    <a:graphicData uri="http://schemas.openxmlformats.org/drawingml/2006/picture">
                      <pic:pic>
                        <pic:nvPicPr>
                          <pic:cNvPr id="0" name="E_reference_vs_prediction.png"/>
                          <pic:cNvPicPr/>
                        </pic:nvPicPr>
                        <pic:blipFill>
                          <a:blip r:embed="rId13"/>
                          <a:stretch>
                            <a:fillRect/>
                          </a:stretch>
                        </pic:blipFill>
                        <pic:spPr>
                          <a:xfrm>
                            <a:off x="0" y="0"/>
                            <a:ext cx="2556000" cy="2556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4. Epoch에 따른 MAPE 변화 곡선</w:t>
            </w:r>
          </w:p>
        </w:tc>
        <w:tc>
          <w:tcPr>
            <w:tcW w:type="dxa" w:w="4986"/>
          </w:tcPr>
          <w:p>
            <w:pPr>
              <w:jc w:val="center"/>
            </w:pPr>
            <w:r>
              <w:rPr>
                <w:rFonts w:ascii="Malgun Gothic" w:hAnsi="Malgun Gothic" w:eastAsia="맑은 고딕"/>
                <w:b w:val="0"/>
                <w:color w:val="555555"/>
                <w:sz w:val="17"/>
              </w:rPr>
              <w:t>그림 5. 실제값 vs 예측값 (Test)</w:t>
            </w:r>
          </w:p>
        </w:tc>
      </w:tr>
    </w:tbl>
    <w:p>
      <w:pPr>
        <w:spacing w:before="80" w:after="40"/>
      </w:pPr>
      <w:r>
        <w:rPr>
          <w:rFonts w:ascii="Malgun Gothic" w:hAnsi="Malgun Gothic" w:eastAsia="맑은 고딕"/>
          <w:b/>
          <w:sz w:val="22"/>
        </w:rPr>
        <w:t>2) 예측 성능 평가 (Test data)</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1.16 %</w:t>
            </w:r>
          </w:p>
        </w:tc>
        <w:tc>
          <w:tcPr>
            <w:tcW w:type="dxa" w:w="2493"/>
          </w:tcPr>
          <w:p>
            <w:pPr>
              <w:jc w:val="center"/>
            </w:pPr>
            <w:r>
              <w:rPr>
                <w:rFonts w:ascii="Malgun Gothic" w:hAnsi="Malgun Gothic" w:eastAsia="맑은 고딕"/>
                <w:sz w:val="18"/>
              </w:rPr>
              <w:t>1.72 GPa</w:t>
            </w:r>
          </w:p>
        </w:tc>
        <w:tc>
          <w:tcPr>
            <w:tcW w:type="dxa" w:w="2493"/>
          </w:tcPr>
          <w:p>
            <w:pPr>
              <w:jc w:val="center"/>
            </w:pPr>
            <w:r>
              <w:rPr>
                <w:rFonts w:ascii="Malgun Gothic" w:hAnsi="Malgun Gothic" w:eastAsia="맑은 고딕"/>
                <w:sz w:val="18"/>
              </w:rPr>
              <w:t>2.37 GPa</w:t>
            </w:r>
          </w:p>
        </w:tc>
      </w:tr>
    </w:tbl>
    <w:p>
      <w:r>
        <w:rPr>
          <w:rFonts w:ascii="Malgun Gothic" w:hAnsi="Malgun Gothic" w:eastAsia="맑은 고딕"/>
          <w:sz w:val="20"/>
        </w:rPr>
        <w:t>그림 5의 실제값–예측값 산점도가 이상선(y=x)에 거의 완벽히 일치하며, MAPE 약 1.2%로 매우 높은 예측 정확도를 보였다. (참고: 동일 모델로 YS를 예측했을 때의 ~15%보다 훨씬 우수하며, 이는 탄성계수가 압입 데이터로 예측하기 용이한 물성임을 시사한다.)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6" name="Picture 6"/>
                  <wp:cNvGraphicFramePr>
                    <a:graphicFrameLocks noChangeAspect="1"/>
                  </wp:cNvGraphicFramePr>
                  <a:graphic>
                    <a:graphicData uri="http://schemas.openxmlformats.org/drawingml/2006/picture">
                      <pic:pic>
                        <pic:nvPicPr>
                          <pic:cNvPr id="0" name="E_permutation_importance.png"/>
                          <pic:cNvPicPr/>
                        </pic:nvPicPr>
                        <pic:blipFill>
                          <a:blip r:embed="rId14"/>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shap_importance.png"/>
                          <pic:cNvPicPr/>
                        </pic:nvPicPr>
                        <pic:blipFill>
                          <a:blip r:embed="rId15"/>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일반화: 입력 변수의 스케일 차이를 Min-Max 정규화로 통일하여 학습 안정성을 확보하였고, Dropout(0.2)·L2 정규화·EarlyStopping을 통해 과적합을 억제하였다. Training MAPE와 Validation MAPE의 격차가 크지 않아 모델이 안정적으로 일반화되었음을 확인하였다.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