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algun Gothic" w:hAnsi="Malgun Gothic" w:eastAsia="맑은 고딕"/>
          <w:b/>
          <w:color w:val="1F3764"/>
          <w:sz w:val="48"/>
        </w:rPr>
        <w:t>전산재료공학 과제 보고서</w:t>
      </w:r>
    </w:p>
    <w:p>
      <w:pPr>
        <w:jc w:val="center"/>
      </w:pPr>
      <w:r>
        <w:rPr>
          <w:rFonts w:ascii="Malgun Gothic" w:hAnsi="Malgun Gothic" w:eastAsia="맑은 고딕"/>
          <w:b/>
          <w:sz w:val="32"/>
        </w:rPr>
        <w:t>Homework #1 &amp; #2</w:t>
      </w:r>
    </w:p>
    <w:p/>
    <w:p/>
    <w:p>
      <w:pPr>
        <w:jc w:val="center"/>
      </w:pPr>
      <w:r>
        <w:rPr>
          <w:rFonts w:ascii="Malgun Gothic" w:hAnsi="Malgun Gothic" w:eastAsia="맑은 고딕"/>
          <w:sz w:val="24"/>
        </w:rPr>
        <w:t>#1. 원형 홀을 포함한 평판의 2차원 선형탄성 유한요소해석</w:t>
        <w:br/>
        <w:t>#2. 압입시험 데이터 기반 탄성계수(E) 예측 인공신경망</w:t>
      </w:r>
    </w:p>
    <w:p/>
    <w:p/>
    <w:p/>
    <w:p/>
    <w:p/>
    <w:p/>
    <w:p/>
    <w:p/>
    <w:p>
      <w:pPr>
        <w:jc w:val="center"/>
      </w:pPr>
      <w:r>
        <w:rPr>
          <w:rFonts w:ascii="Malgun Gothic" w:hAnsi="Malgun Gothic" w:eastAsia="맑은 고딕"/>
          <w:sz w:val="24"/>
        </w:rPr>
        <w:t>과    목 : ____________________</w:t>
      </w:r>
    </w:p>
    <w:p>
      <w:pPr>
        <w:jc w:val="center"/>
      </w:pPr>
      <w:r>
        <w:rPr>
          <w:rFonts w:ascii="Malgun Gothic" w:hAnsi="Malgun Gothic" w:eastAsia="맑은 고딕"/>
          <w:sz w:val="24"/>
        </w:rPr>
        <w:t>학    번 : ____________________</w:t>
      </w:r>
    </w:p>
    <w:p>
      <w:pPr>
        <w:jc w:val="center"/>
      </w:pPr>
      <w:r>
        <w:rPr>
          <w:rFonts w:ascii="Malgun Gothic" w:hAnsi="Malgun Gothic" w:eastAsia="맑은 고딕"/>
          <w:sz w:val="24"/>
        </w:rPr>
        <w:t>이    름 : ____________________</w:t>
      </w:r>
    </w:p>
    <w:p>
      <w:pPr>
        <w:jc w:val="center"/>
      </w:pPr>
      <w:r>
        <w:rPr>
          <w:rFonts w:ascii="Malgun Gothic" w:hAnsi="Malgun Gothic" w:eastAsia="맑은 고딕"/>
          <w:sz w:val="24"/>
        </w:rPr>
        <w:t>제 출 일 : 2026. __. __.</w:t>
      </w:r>
    </w:p>
    <w:p>
      <w:r>
        <w:br w:type="page"/>
      </w:r>
    </w:p>
    <w:p>
      <w:pPr>
        <w:spacing w:before="0" w:after="60"/>
      </w:pPr>
      <w:r>
        <w:rPr>
          <w:rFonts w:ascii="Malgun Gothic" w:hAnsi="Malgun Gothic" w:eastAsia="맑은 고딕"/>
          <w:b/>
          <w:color w:val="1F3764"/>
          <w:sz w:val="26"/>
        </w:rPr>
        <w:t>Homework #1. 원형 홀을 포함한 평판의 2차원 선형탄성 유한요소해석 (Plane Stress)</w:t>
      </w:r>
    </w:p>
    <w:p>
      <w:r>
        <w:rPr>
          <w:rFonts w:ascii="Malgun Gothic" w:hAnsi="Malgun Gothic" w:eastAsia="맑은 고딕"/>
          <w:sz w:val="20"/>
        </w:rPr>
        <w:t>폭 W=2.0 m, 높이 H=1.0 m, 두께 t=0.01 m인 평판(중심 (0,0))에 중심 (0.1, 0), 반지름 r의 원형 홀을 둔 모델을 평면응력(Plane Stress) 조건에서 해석하였다. 재료는 E=210 GPa, ν=0.30이며, 하단은 완전 고정(u=v=0), 상단은 위쪽으로 Δ=1×10⁻⁴ m의 변위를 강제하였다(변위 구속 조건).</w:t>
      </w:r>
    </w:p>
    <w:p>
      <w:pPr>
        <w:spacing w:before="80" w:after="40"/>
      </w:pPr>
      <w:r>
        <w:rPr>
          <w:rFonts w:ascii="Malgun Gothic" w:hAnsi="Malgun Gothic" w:eastAsia="맑은 고딕"/>
          <w:b/>
          <w:sz w:val="22"/>
        </w:rPr>
        <w:t>1) 예제 코드 8단계의 역할</w:t>
      </w:r>
    </w:p>
    <w:p>
      <w:pPr>
        <w:pStyle w:val="ListBullet"/>
        <w:spacing w:after="40"/>
      </w:pPr>
      <w:r>
        <w:rPr>
          <w:rFonts w:ascii="Malgun Gothic" w:hAnsi="Malgun Gothic" w:eastAsia="맑은 고딕"/>
          <w:sz w:val="20"/>
        </w:rPr>
        <w:t>① 입력 파라미터: 형상(W,H,t), 재료물성(E,ν), 홀 위치·크기, 메쉬 간격(h, n_circle), 경계조건(Δ) 등 해석 조건 정의.</w:t>
      </w:r>
    </w:p>
    <w:p>
      <w:pPr>
        <w:pStyle w:val="ListBullet"/>
        <w:spacing w:after="40"/>
      </w:pPr>
      <w:r>
        <w:rPr>
          <w:rFonts w:ascii="Malgun Gothic" w:hAnsi="Malgun Gothic" w:eastAsia="맑은 고딕"/>
          <w:sz w:val="20"/>
        </w:rPr>
        <w:t>② 재료물성·요소 정의: 평면응력 구성행렬 D 계산과 CST(상수변형률 삼각형) 요소의 B행렬·면적 계산 함수 정의.</w:t>
      </w:r>
    </w:p>
    <w:p>
      <w:pPr>
        <w:pStyle w:val="ListBullet"/>
        <w:spacing w:after="40"/>
      </w:pPr>
      <w:r>
        <w:rPr>
          <w:rFonts w:ascii="Malgun Gothic" w:hAnsi="Malgun Gothic" w:eastAsia="맑은 고딕"/>
          <w:sz w:val="20"/>
        </w:rPr>
        <w:t>③ 모델·메쉬 생성: 격자점 생성 → 홀 내부 점 제거 → 경계·홀 경계점 추가 → Delaunay 삼각분할 → 홀 내부 요소 제거.</w:t>
      </w:r>
    </w:p>
    <w:p>
      <w:pPr>
        <w:pStyle w:val="ListBullet"/>
        <w:spacing w:after="40"/>
      </w:pPr>
      <w:r>
        <w:rPr>
          <w:rFonts w:ascii="Malgun Gothic" w:hAnsi="Malgun Gothic" w:eastAsia="맑은 고딕"/>
          <w:sz w:val="20"/>
        </w:rPr>
        <w:t>④ 경계조건 설정: 하단/상단/좌우 경계 절점을 탐색하여 고정 및 변위 부여 대상 절점을 식별.</w:t>
      </w:r>
    </w:p>
    <w:p>
      <w:pPr>
        <w:pStyle w:val="ListBullet"/>
        <w:spacing w:after="40"/>
      </w:pPr>
      <w:r>
        <w:rPr>
          <w:rFonts w:ascii="Malgun Gothic" w:hAnsi="Malgun Gothic" w:eastAsia="맑은 고딕"/>
          <w:sz w:val="20"/>
        </w:rPr>
        <w:t>⑤ 강성행렬 구성 및 해 계산: 요소 강성행렬 Kᵉ를 전체 행렬 K로 조립하고, Dirichlet 경계조건을 소거법으로 적용해 K_ff·U_f = −K_fc·U_c 를 풀어 변위 U를 구함.</w:t>
      </w:r>
    </w:p>
    <w:p>
      <w:pPr>
        <w:pStyle w:val="ListBullet"/>
        <w:spacing w:after="40"/>
      </w:pPr>
      <w:r>
        <w:rPr>
          <w:rFonts w:ascii="Malgun Gothic" w:hAnsi="Malgun Gothic" w:eastAsia="맑은 고딕"/>
          <w:sz w:val="20"/>
        </w:rPr>
        <w:t>⑥ 후처리(응력·변형률): 각 요소에서 ε=B·u, σ=D·ε 및 von Mises 응력을 계산.</w:t>
      </w:r>
    </w:p>
    <w:p>
      <w:pPr>
        <w:pStyle w:val="ListBullet"/>
        <w:spacing w:after="40"/>
      </w:pPr>
      <w:r>
        <w:rPr>
          <w:rFonts w:ascii="Malgun Gothic" w:hAnsi="Malgun Gothic" w:eastAsia="맑은 고딕"/>
          <w:sz w:val="20"/>
        </w:rPr>
        <w:t>⑦ 시각화 함수: 변형 형상과 응력·변형률 컨투어를 그리는 헬퍼 함수.</w:t>
      </w:r>
    </w:p>
    <w:p>
      <w:pPr>
        <w:pStyle w:val="ListBullet"/>
        <w:spacing w:after="40"/>
      </w:pPr>
      <w:r>
        <w:rPr>
          <w:rFonts w:ascii="Malgun Gothic" w:hAnsi="Malgun Gothic" w:eastAsia="맑은 고딕"/>
          <w:sz w:val="20"/>
        </w:rPr>
        <w:t>⑧ 실행(Run): 위 단계를 순서대로 호출하여 해석을 수행하고 결과를 출력·시각화.</w:t>
      </w:r>
    </w:p>
    <w:p>
      <w:pPr>
        <w:spacing w:before="80" w:after="40"/>
      </w:pPr>
      <w:r>
        <w:rPr>
          <w:rFonts w:ascii="Malgun Gothic" w:hAnsi="Malgun Gothic" w:eastAsia="맑은 고딕"/>
          <w:b/>
          <w:sz w:val="22"/>
        </w:rPr>
        <w:t>2) 기본 해석 결과 (변위장·응력분포)</w:t>
      </w:r>
    </w:p>
    <w:p>
      <w:r>
        <w:rPr>
          <w:rFonts w:ascii="Malgun Gothic" w:hAnsi="Malgun Gothic" w:eastAsia="맑은 고딕"/>
          <w:sz w:val="20"/>
        </w:rPr>
        <w:t>상단을 위로 당기는 세로 인장 하중에 대해, 변위장은 하단 고정부에서 0이고 위로 갈수록 증가하여 상단에서 강제 변위 Δ에 도달하는 전형적 분포를 보였다. 응력은 판 전반에서 비교적 균일하다가 홀 근처에서 급격히 교란되는데, 이는 하중 전달 경로가 구멍을 우회하면서 가장자리에 몰리기 때문이다.</w:t>
      </w:r>
    </w:p>
    <w:tbl>
      <w:tblPr>
        <w:tblW w:type="auto" w:w="0"/>
        <w:tblLayout w:type="autofit"/>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556000" cy="1192800"/>
                  <wp:docPr id="1" name="Picture 1"/>
                  <wp:cNvGraphicFramePr>
                    <a:graphicFrameLocks noChangeAspect="1"/>
                  </wp:cNvGraphicFramePr>
                  <a:graphic>
                    <a:graphicData uri="http://schemas.openxmlformats.org/drawingml/2006/picture">
                      <pic:pic>
                        <pic:nvPicPr>
                          <pic:cNvPr id="0" name="vonmises_r_min.png"/>
                          <pic:cNvPicPr/>
                        </pic:nvPicPr>
                        <pic:blipFill>
                          <a:blip r:embed="rId9"/>
                          <a:stretch>
                            <a:fillRect/>
                          </a:stretch>
                        </pic:blipFill>
                        <pic:spPr>
                          <a:xfrm>
                            <a:off x="0" y="0"/>
                            <a:ext cx="2556000" cy="11928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556000" cy="1192800"/>
                  <wp:docPr id="2" name="Picture 2"/>
                  <wp:cNvGraphicFramePr>
                    <a:graphicFrameLocks noChangeAspect="1"/>
                  </wp:cNvGraphicFramePr>
                  <a:graphic>
                    <a:graphicData uri="http://schemas.openxmlformats.org/drawingml/2006/picture">
                      <pic:pic>
                        <pic:nvPicPr>
                          <pic:cNvPr id="0" name="vonmises_r_max.png"/>
                          <pic:cNvPicPr/>
                        </pic:nvPicPr>
                        <pic:blipFill>
                          <a:blip r:embed="rId10"/>
                          <a:stretch>
                            <a:fillRect/>
                          </a:stretch>
                        </pic:blipFill>
                        <pic:spPr>
                          <a:xfrm>
                            <a:off x="0" y="0"/>
                            <a:ext cx="2556000" cy="1192800"/>
                          </a:xfrm>
                          <a:prstGeom prst="rect"/>
                        </pic:spPr>
                      </pic:pic>
                    </a:graphicData>
                  </a:graphic>
                </wp:inline>
              </w:drawing>
            </w:r>
          </w:p>
        </w:tc>
      </w:tr>
      <w:tr>
        <w:tc>
          <w:tcPr>
            <w:tcW w:type="dxa" w:w="4986"/>
          </w:tcPr>
          <w:p>
            <w:pPr>
              <w:jc w:val="center"/>
            </w:pPr>
            <w:r>
              <w:rPr>
                <w:rFonts w:ascii="Malgun Gothic" w:hAnsi="Malgun Gothic" w:eastAsia="맑은 고딕"/>
                <w:b w:val="0"/>
                <w:color w:val="555555"/>
                <w:sz w:val="17"/>
              </w:rPr>
              <w:t>그림 1. von Mises 응력 분포 (작은 구멍, r=0.05)</w:t>
            </w:r>
          </w:p>
        </w:tc>
        <w:tc>
          <w:tcPr>
            <w:tcW w:type="dxa" w:w="4986"/>
          </w:tcPr>
          <w:p>
            <w:pPr>
              <w:jc w:val="center"/>
            </w:pPr>
            <w:r>
              <w:rPr>
                <w:rFonts w:ascii="Malgun Gothic" w:hAnsi="Malgun Gothic" w:eastAsia="맑은 고딕"/>
                <w:b w:val="0"/>
                <w:color w:val="555555"/>
                <w:sz w:val="17"/>
              </w:rPr>
              <w:t>그림 2. von Mises 응력 분포 (큰 구멍, r=0.30)</w:t>
            </w:r>
          </w:p>
        </w:tc>
      </w:tr>
    </w:tbl>
    <w:p>
      <w:r>
        <w:rPr>
          <w:rFonts w:ascii="Malgun Gothic" w:hAnsi="Malgun Gothic" w:eastAsia="맑은 고딕"/>
          <w:sz w:val="20"/>
        </w:rPr>
        <w:t>[결과 해석] 응력집중은 하중 방향과 수직인 홀의 좌·우 측면(x=cx±r, y=0)에서 가장 크게 나타났고, 하중 방향과 나란한 홀의 상·하부는 오히려 저응력 영역이 되었다. 이는 원공 주위 응력집중 이론과 정확히 일치하는 거동이다. 기본 조건(r=0.15)에서 홀 가장자리의 최대 응력(von Mises)은 약 51.5 MPa로, 적용 공칭응력(σ=E·Δ/H=21 MPa)의 약 2.45배에 해당하는 응력집중이 발생하였다. 한편 본 해석은 변위를 강제하는 조건이므로, 선형탄성에서 변위장은 탄성계수 E와 무관하고(E가 강성행렬에서 약분됨) 응력만 E에 선형 비례한다. 따라서 예컨대 E를 절반으로 줄이면 변형 형상은 동일하고 응력 크기만 절반이 되며, 응력집중의 정도(SCF)는 변하지 않는다. 즉 응력집중은 재료 물성보다 형상에 의해 본질적으로 결정됨을 알 수 있다.</w:t>
      </w:r>
    </w:p>
    <w:p>
      <w:pPr>
        <w:spacing w:before="80" w:after="40"/>
      </w:pPr>
      <w:r>
        <w:rPr>
          <w:rFonts w:ascii="Malgun Gothic" w:hAnsi="Malgun Gothic" w:eastAsia="맑은 고딕"/>
          <w:b/>
          <w:sz w:val="22"/>
        </w:rPr>
        <w:t>3) 파라미터 실험: 구멍 크기(r) 변경</w:t>
      </w:r>
    </w:p>
    <w:p>
      <w:r>
        <w:rPr>
          <w:rFonts w:ascii="Malgun Gothic" w:hAnsi="Malgun Gothic" w:eastAsia="맑은 고딕"/>
          <w:sz w:val="20"/>
        </w:rPr>
        <w:t>선택 변수로 구멍 크기 r을 0.05부터 0.30까지 변화시키며 홀 가장자리의 최대 응력과 응력집중계수(SCF = σ_max / σ_nom)의 변화를 분석하였다. 공칭응력 σ_nom은 적용 far-field 응력 σ = E·Δ/H = 21 MPa로 정의하였다. 이 값은 작은 구멍(r=0.05)에서 유한요소 반력으로 산출한 평균응력(약 21.3 MPa)과 거의 일치하여 기준 응력으로서 타당하다. 최대 응력은 von Mises 응력의 최댓값을 사용하였다. 결과는 다음과 같다.</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Malgun Gothic" w:hAnsi="Malgun Gothic" w:eastAsia="맑은 고딕"/>
                <w:b/>
                <w:sz w:val="18"/>
              </w:rPr>
              <w:t>r (m)</w:t>
            </w:r>
          </w:p>
        </w:tc>
        <w:tc>
          <w:tcPr>
            <w:tcW w:type="dxa" w:w="1994"/>
          </w:tcPr>
          <w:p>
            <w:pPr>
              <w:jc w:val="center"/>
            </w:pPr>
            <w:r>
              <w:rPr>
                <w:rFonts w:ascii="Malgun Gothic" w:hAnsi="Malgun Gothic" w:eastAsia="맑은 고딕"/>
                <w:b/>
                <w:sz w:val="18"/>
              </w:rPr>
              <w:t>2r/W</w:t>
            </w:r>
          </w:p>
        </w:tc>
        <w:tc>
          <w:tcPr>
            <w:tcW w:type="dxa" w:w="1994"/>
          </w:tcPr>
          <w:p>
            <w:pPr>
              <w:jc w:val="center"/>
            </w:pPr>
            <w:r>
              <w:rPr>
                <w:rFonts w:ascii="Malgun Gothic" w:hAnsi="Malgun Gothic" w:eastAsia="맑은 고딕"/>
                <w:b/>
                <w:sz w:val="18"/>
              </w:rPr>
              <w:t>Max σ (von Mises) [MPa]</w:t>
            </w:r>
          </w:p>
        </w:tc>
        <w:tc>
          <w:tcPr>
            <w:tcW w:type="dxa" w:w="1994"/>
          </w:tcPr>
          <w:p>
            <w:pPr>
              <w:jc w:val="center"/>
            </w:pPr>
            <w:r>
              <w:rPr>
                <w:rFonts w:ascii="Malgun Gothic" w:hAnsi="Malgun Gothic" w:eastAsia="맑은 고딕"/>
                <w:b/>
                <w:sz w:val="18"/>
              </w:rPr>
              <w:t>σ_nom [MPa]</w:t>
            </w:r>
          </w:p>
        </w:tc>
        <w:tc>
          <w:tcPr>
            <w:tcW w:type="dxa" w:w="1994"/>
          </w:tcPr>
          <w:p>
            <w:pPr>
              <w:jc w:val="center"/>
            </w:pPr>
            <w:r>
              <w:rPr>
                <w:rFonts w:ascii="Malgun Gothic" w:hAnsi="Malgun Gothic" w:eastAsia="맑은 고딕"/>
                <w:b/>
                <w:sz w:val="18"/>
              </w:rPr>
              <w:t>SCF (=σ/σ_nom)</w:t>
            </w:r>
          </w:p>
        </w:tc>
      </w:tr>
      <w:tr>
        <w:tc>
          <w:tcPr>
            <w:tcW w:type="dxa" w:w="1994"/>
          </w:tcPr>
          <w:p>
            <w:pPr>
              <w:jc w:val="center"/>
            </w:pPr>
            <w:r>
              <w:rPr>
                <w:rFonts w:ascii="Malgun Gothic" w:hAnsi="Malgun Gothic" w:eastAsia="맑은 고딕"/>
                <w:sz w:val="18"/>
              </w:rPr>
              <w:t>0.05</w:t>
            </w:r>
          </w:p>
        </w:tc>
        <w:tc>
          <w:tcPr>
            <w:tcW w:type="dxa" w:w="1994"/>
          </w:tcPr>
          <w:p>
            <w:pPr>
              <w:jc w:val="center"/>
            </w:pPr>
            <w:r>
              <w:rPr>
                <w:rFonts w:ascii="Malgun Gothic" w:hAnsi="Malgun Gothic" w:eastAsia="맑은 고딕"/>
                <w:sz w:val="18"/>
              </w:rPr>
              <w:t>0.05</w:t>
            </w:r>
          </w:p>
        </w:tc>
        <w:tc>
          <w:tcPr>
            <w:tcW w:type="dxa" w:w="1994"/>
          </w:tcPr>
          <w:p>
            <w:pPr>
              <w:jc w:val="center"/>
            </w:pPr>
            <w:r>
              <w:rPr>
                <w:rFonts w:ascii="Malgun Gothic" w:hAnsi="Malgun Gothic" w:eastAsia="맑은 고딕"/>
                <w:sz w:val="18"/>
              </w:rPr>
              <w:t>55.4</w:t>
            </w:r>
          </w:p>
        </w:tc>
        <w:tc>
          <w:tcPr>
            <w:tcW w:type="dxa" w:w="1994"/>
          </w:tcPr>
          <w:p>
            <w:pPr>
              <w:jc w:val="center"/>
            </w:pPr>
            <w:r>
              <w:rPr>
                <w:rFonts w:ascii="Malgun Gothic" w:hAnsi="Malgun Gothic" w:eastAsia="맑은 고딕"/>
                <w:sz w:val="18"/>
              </w:rPr>
              <w:t>21</w:t>
            </w:r>
          </w:p>
        </w:tc>
        <w:tc>
          <w:tcPr>
            <w:tcW w:type="dxa" w:w="1994"/>
          </w:tcPr>
          <w:p>
            <w:pPr>
              <w:jc w:val="center"/>
            </w:pPr>
            <w:r>
              <w:rPr>
                <w:rFonts w:ascii="Malgun Gothic" w:hAnsi="Malgun Gothic" w:eastAsia="맑은 고딕"/>
                <w:sz w:val="18"/>
              </w:rPr>
              <w:t>2.64</w:t>
            </w:r>
          </w:p>
        </w:tc>
      </w:tr>
      <w:tr>
        <w:tc>
          <w:tcPr>
            <w:tcW w:type="dxa" w:w="1994"/>
          </w:tcPr>
          <w:p>
            <w:pPr>
              <w:jc w:val="center"/>
            </w:pPr>
            <w:r>
              <w:rPr>
                <w:rFonts w:ascii="Malgun Gothic" w:hAnsi="Malgun Gothic" w:eastAsia="맑은 고딕"/>
                <w:sz w:val="18"/>
              </w:rPr>
              <w:t>0.10</w:t>
            </w:r>
          </w:p>
        </w:tc>
        <w:tc>
          <w:tcPr>
            <w:tcW w:type="dxa" w:w="1994"/>
          </w:tcPr>
          <w:p>
            <w:pPr>
              <w:jc w:val="center"/>
            </w:pPr>
            <w:r>
              <w:rPr>
                <w:rFonts w:ascii="Malgun Gothic" w:hAnsi="Malgun Gothic" w:eastAsia="맑은 고딕"/>
                <w:sz w:val="18"/>
              </w:rPr>
              <w:t>0.10</w:t>
            </w:r>
          </w:p>
        </w:tc>
        <w:tc>
          <w:tcPr>
            <w:tcW w:type="dxa" w:w="1994"/>
          </w:tcPr>
          <w:p>
            <w:pPr>
              <w:jc w:val="center"/>
            </w:pPr>
            <w:r>
              <w:rPr>
                <w:rFonts w:ascii="Malgun Gothic" w:hAnsi="Malgun Gothic" w:eastAsia="맑은 고딕"/>
                <w:sz w:val="18"/>
              </w:rPr>
              <w:t>52.5</w:t>
            </w:r>
          </w:p>
        </w:tc>
        <w:tc>
          <w:tcPr>
            <w:tcW w:type="dxa" w:w="1994"/>
          </w:tcPr>
          <w:p>
            <w:pPr>
              <w:jc w:val="center"/>
            </w:pPr>
            <w:r>
              <w:rPr>
                <w:rFonts w:ascii="Malgun Gothic" w:hAnsi="Malgun Gothic" w:eastAsia="맑은 고딕"/>
                <w:sz w:val="18"/>
              </w:rPr>
              <w:t>21</w:t>
            </w:r>
          </w:p>
        </w:tc>
        <w:tc>
          <w:tcPr>
            <w:tcW w:type="dxa" w:w="1994"/>
          </w:tcPr>
          <w:p>
            <w:pPr>
              <w:jc w:val="center"/>
            </w:pPr>
            <w:r>
              <w:rPr>
                <w:rFonts w:ascii="Malgun Gothic" w:hAnsi="Malgun Gothic" w:eastAsia="맑은 고딕"/>
                <w:sz w:val="18"/>
              </w:rPr>
              <w:t>2.50</w:t>
            </w:r>
          </w:p>
        </w:tc>
      </w:tr>
      <w:tr>
        <w:tc>
          <w:tcPr>
            <w:tcW w:type="dxa" w:w="1994"/>
          </w:tcPr>
          <w:p>
            <w:pPr>
              <w:jc w:val="center"/>
            </w:pPr>
            <w:r>
              <w:rPr>
                <w:rFonts w:ascii="Malgun Gothic" w:hAnsi="Malgun Gothic" w:eastAsia="맑은 고딕"/>
                <w:sz w:val="18"/>
              </w:rPr>
              <w:t>0.15</w:t>
            </w:r>
          </w:p>
        </w:tc>
        <w:tc>
          <w:tcPr>
            <w:tcW w:type="dxa" w:w="1994"/>
          </w:tcPr>
          <w:p>
            <w:pPr>
              <w:jc w:val="center"/>
            </w:pPr>
            <w:r>
              <w:rPr>
                <w:rFonts w:ascii="Malgun Gothic" w:hAnsi="Malgun Gothic" w:eastAsia="맑은 고딕"/>
                <w:sz w:val="18"/>
              </w:rPr>
              <w:t>0.15</w:t>
            </w:r>
          </w:p>
        </w:tc>
        <w:tc>
          <w:tcPr>
            <w:tcW w:type="dxa" w:w="1994"/>
          </w:tcPr>
          <w:p>
            <w:pPr>
              <w:jc w:val="center"/>
            </w:pPr>
            <w:r>
              <w:rPr>
                <w:rFonts w:ascii="Malgun Gothic" w:hAnsi="Malgun Gothic" w:eastAsia="맑은 고딕"/>
                <w:sz w:val="18"/>
              </w:rPr>
              <w:t>51.5</w:t>
            </w:r>
          </w:p>
        </w:tc>
        <w:tc>
          <w:tcPr>
            <w:tcW w:type="dxa" w:w="1994"/>
          </w:tcPr>
          <w:p>
            <w:pPr>
              <w:jc w:val="center"/>
            </w:pPr>
            <w:r>
              <w:rPr>
                <w:rFonts w:ascii="Malgun Gothic" w:hAnsi="Malgun Gothic" w:eastAsia="맑은 고딕"/>
                <w:sz w:val="18"/>
              </w:rPr>
              <w:t>21</w:t>
            </w:r>
          </w:p>
        </w:tc>
        <w:tc>
          <w:tcPr>
            <w:tcW w:type="dxa" w:w="1994"/>
          </w:tcPr>
          <w:p>
            <w:pPr>
              <w:jc w:val="center"/>
            </w:pPr>
            <w:r>
              <w:rPr>
                <w:rFonts w:ascii="Malgun Gothic" w:hAnsi="Malgun Gothic" w:eastAsia="맑은 고딕"/>
                <w:sz w:val="18"/>
              </w:rPr>
              <w:t>2.45</w:t>
            </w:r>
          </w:p>
        </w:tc>
      </w:tr>
      <w:tr>
        <w:tc>
          <w:tcPr>
            <w:tcW w:type="dxa" w:w="1994"/>
          </w:tcPr>
          <w:p>
            <w:pPr>
              <w:jc w:val="center"/>
            </w:pPr>
            <w:r>
              <w:rPr>
                <w:rFonts w:ascii="Malgun Gothic" w:hAnsi="Malgun Gothic" w:eastAsia="맑은 고딕"/>
                <w:sz w:val="18"/>
              </w:rPr>
              <w:t>0.20</w:t>
            </w:r>
          </w:p>
        </w:tc>
        <w:tc>
          <w:tcPr>
            <w:tcW w:type="dxa" w:w="1994"/>
          </w:tcPr>
          <w:p>
            <w:pPr>
              <w:jc w:val="center"/>
            </w:pPr>
            <w:r>
              <w:rPr>
                <w:rFonts w:ascii="Malgun Gothic" w:hAnsi="Malgun Gothic" w:eastAsia="맑은 고딕"/>
                <w:sz w:val="18"/>
              </w:rPr>
              <w:t>0.20</w:t>
            </w:r>
          </w:p>
        </w:tc>
        <w:tc>
          <w:tcPr>
            <w:tcW w:type="dxa" w:w="1994"/>
          </w:tcPr>
          <w:p>
            <w:pPr>
              <w:jc w:val="center"/>
            </w:pPr>
            <w:r>
              <w:rPr>
                <w:rFonts w:ascii="Malgun Gothic" w:hAnsi="Malgun Gothic" w:eastAsia="맑은 고딕"/>
                <w:sz w:val="18"/>
              </w:rPr>
              <w:t>49.2</w:t>
            </w:r>
          </w:p>
        </w:tc>
        <w:tc>
          <w:tcPr>
            <w:tcW w:type="dxa" w:w="1994"/>
          </w:tcPr>
          <w:p>
            <w:pPr>
              <w:jc w:val="center"/>
            </w:pPr>
            <w:r>
              <w:rPr>
                <w:rFonts w:ascii="Malgun Gothic" w:hAnsi="Malgun Gothic" w:eastAsia="맑은 고딕"/>
                <w:sz w:val="18"/>
              </w:rPr>
              <w:t>21</w:t>
            </w:r>
          </w:p>
        </w:tc>
        <w:tc>
          <w:tcPr>
            <w:tcW w:type="dxa" w:w="1994"/>
          </w:tcPr>
          <w:p>
            <w:pPr>
              <w:jc w:val="center"/>
            </w:pPr>
            <w:r>
              <w:rPr>
                <w:rFonts w:ascii="Malgun Gothic" w:hAnsi="Malgun Gothic" w:eastAsia="맑은 고딕"/>
                <w:sz w:val="18"/>
              </w:rPr>
              <w:t>2.34</w:t>
            </w:r>
          </w:p>
        </w:tc>
      </w:tr>
      <w:tr>
        <w:tc>
          <w:tcPr>
            <w:tcW w:type="dxa" w:w="1994"/>
          </w:tcPr>
          <w:p>
            <w:pPr>
              <w:jc w:val="center"/>
            </w:pPr>
            <w:r>
              <w:rPr>
                <w:rFonts w:ascii="Malgun Gothic" w:hAnsi="Malgun Gothic" w:eastAsia="맑은 고딕"/>
                <w:sz w:val="18"/>
              </w:rPr>
              <w:t>0.25</w:t>
            </w:r>
          </w:p>
        </w:tc>
        <w:tc>
          <w:tcPr>
            <w:tcW w:type="dxa" w:w="1994"/>
          </w:tcPr>
          <w:p>
            <w:pPr>
              <w:jc w:val="center"/>
            </w:pPr>
            <w:r>
              <w:rPr>
                <w:rFonts w:ascii="Malgun Gothic" w:hAnsi="Malgun Gothic" w:eastAsia="맑은 고딕"/>
                <w:sz w:val="18"/>
              </w:rPr>
              <w:t>0.25</w:t>
            </w:r>
          </w:p>
        </w:tc>
        <w:tc>
          <w:tcPr>
            <w:tcW w:type="dxa" w:w="1994"/>
          </w:tcPr>
          <w:p>
            <w:pPr>
              <w:jc w:val="center"/>
            </w:pPr>
            <w:r>
              <w:rPr>
                <w:rFonts w:ascii="Malgun Gothic" w:hAnsi="Malgun Gothic" w:eastAsia="맑은 고딕"/>
                <w:sz w:val="18"/>
              </w:rPr>
              <w:t>44.8</w:t>
            </w:r>
          </w:p>
        </w:tc>
        <w:tc>
          <w:tcPr>
            <w:tcW w:type="dxa" w:w="1994"/>
          </w:tcPr>
          <w:p>
            <w:pPr>
              <w:jc w:val="center"/>
            </w:pPr>
            <w:r>
              <w:rPr>
                <w:rFonts w:ascii="Malgun Gothic" w:hAnsi="Malgun Gothic" w:eastAsia="맑은 고딕"/>
                <w:sz w:val="18"/>
              </w:rPr>
              <w:t>21</w:t>
            </w:r>
          </w:p>
        </w:tc>
        <w:tc>
          <w:tcPr>
            <w:tcW w:type="dxa" w:w="1994"/>
          </w:tcPr>
          <w:p>
            <w:pPr>
              <w:jc w:val="center"/>
            </w:pPr>
            <w:r>
              <w:rPr>
                <w:rFonts w:ascii="Malgun Gothic" w:hAnsi="Malgun Gothic" w:eastAsia="맑은 고딕"/>
                <w:sz w:val="18"/>
              </w:rPr>
              <w:t>2.13</w:t>
            </w:r>
          </w:p>
        </w:tc>
      </w:tr>
      <w:tr>
        <w:tc>
          <w:tcPr>
            <w:tcW w:type="dxa" w:w="1994"/>
          </w:tcPr>
          <w:p>
            <w:pPr>
              <w:jc w:val="center"/>
            </w:pPr>
            <w:r>
              <w:rPr>
                <w:rFonts w:ascii="Malgun Gothic" w:hAnsi="Malgun Gothic" w:eastAsia="맑은 고딕"/>
                <w:sz w:val="18"/>
              </w:rPr>
              <w:t>0.30</w:t>
            </w:r>
          </w:p>
        </w:tc>
        <w:tc>
          <w:tcPr>
            <w:tcW w:type="dxa" w:w="1994"/>
          </w:tcPr>
          <w:p>
            <w:pPr>
              <w:jc w:val="center"/>
            </w:pPr>
            <w:r>
              <w:rPr>
                <w:rFonts w:ascii="Malgun Gothic" w:hAnsi="Malgun Gothic" w:eastAsia="맑은 고딕"/>
                <w:sz w:val="18"/>
              </w:rPr>
              <w:t>0.30</w:t>
            </w:r>
          </w:p>
        </w:tc>
        <w:tc>
          <w:tcPr>
            <w:tcW w:type="dxa" w:w="1994"/>
          </w:tcPr>
          <w:p>
            <w:pPr>
              <w:jc w:val="center"/>
            </w:pPr>
            <w:r>
              <w:rPr>
                <w:rFonts w:ascii="Malgun Gothic" w:hAnsi="Malgun Gothic" w:eastAsia="맑은 고딕"/>
                <w:sz w:val="18"/>
              </w:rPr>
              <w:t>41.5</w:t>
            </w:r>
          </w:p>
        </w:tc>
        <w:tc>
          <w:tcPr>
            <w:tcW w:type="dxa" w:w="1994"/>
          </w:tcPr>
          <w:p>
            <w:pPr>
              <w:jc w:val="center"/>
            </w:pPr>
            <w:r>
              <w:rPr>
                <w:rFonts w:ascii="Malgun Gothic" w:hAnsi="Malgun Gothic" w:eastAsia="맑은 고딕"/>
                <w:sz w:val="18"/>
              </w:rPr>
              <w:t>21</w:t>
            </w:r>
          </w:p>
        </w:tc>
        <w:tc>
          <w:tcPr>
            <w:tcW w:type="dxa" w:w="1994"/>
          </w:tcPr>
          <w:p>
            <w:pPr>
              <w:jc w:val="center"/>
            </w:pPr>
            <w:r>
              <w:rPr>
                <w:rFonts w:ascii="Malgun Gothic" w:hAnsi="Malgun Gothic" w:eastAsia="맑은 고딕"/>
                <w:sz w:val="18"/>
              </w:rPr>
              <w:t>1.98</w:t>
            </w:r>
          </w:p>
        </w:tc>
      </w:tr>
    </w:tbl>
    <w:tbl>
      <w:tblPr>
        <w:tblW w:type="auto" w:w="0"/>
        <w:tblLayout w:type="autofit"/>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556000" cy="1769538"/>
                  <wp:docPr id="3" name="Picture 3"/>
                  <wp:cNvGraphicFramePr>
                    <a:graphicFrameLocks noChangeAspect="1"/>
                  </wp:cNvGraphicFramePr>
                  <a:graphic>
                    <a:graphicData uri="http://schemas.openxmlformats.org/drawingml/2006/picture">
                      <pic:pic>
                        <pic:nvPicPr>
                          <pic:cNvPr id="0" name="HW1_maxstress_vs_holesize.png"/>
                          <pic:cNvPicPr/>
                        </pic:nvPicPr>
                        <pic:blipFill>
                          <a:blip r:embed="rId11"/>
                          <a:stretch>
                            <a:fillRect/>
                          </a:stretch>
                        </pic:blipFill>
                        <pic:spPr>
                          <a:xfrm>
                            <a:off x="0" y="0"/>
                            <a:ext cx="2556000" cy="1769538"/>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556000" cy="1769538"/>
                  <wp:docPr id="4" name="Picture 4"/>
                  <wp:cNvGraphicFramePr>
                    <a:graphicFrameLocks noChangeAspect="1"/>
                  </wp:cNvGraphicFramePr>
                  <a:graphic>
                    <a:graphicData uri="http://schemas.openxmlformats.org/drawingml/2006/picture">
                      <pic:pic>
                        <pic:nvPicPr>
                          <pic:cNvPr id="0" name="HW1_SCF_vs_holesize.png"/>
                          <pic:cNvPicPr/>
                        </pic:nvPicPr>
                        <pic:blipFill>
                          <a:blip r:embed="rId12"/>
                          <a:stretch>
                            <a:fillRect/>
                          </a:stretch>
                        </pic:blipFill>
                        <pic:spPr>
                          <a:xfrm>
                            <a:off x="0" y="0"/>
                            <a:ext cx="2556000" cy="1769538"/>
                          </a:xfrm>
                          <a:prstGeom prst="rect"/>
                        </pic:spPr>
                      </pic:pic>
                    </a:graphicData>
                  </a:graphic>
                </wp:inline>
              </w:drawing>
            </w:r>
          </w:p>
        </w:tc>
      </w:tr>
      <w:tr>
        <w:tc>
          <w:tcPr>
            <w:tcW w:type="dxa" w:w="4986"/>
          </w:tcPr>
          <w:p>
            <w:pPr>
              <w:jc w:val="center"/>
            </w:pPr>
            <w:r>
              <w:rPr>
                <w:rFonts w:ascii="Malgun Gothic" w:hAnsi="Malgun Gothic" w:eastAsia="맑은 고딕"/>
                <w:b w:val="0"/>
                <w:color w:val="555555"/>
                <w:sz w:val="17"/>
              </w:rPr>
              <w:t>그림 3. 구멍 크기에 따른 최대 응력 변화</w:t>
            </w:r>
          </w:p>
        </w:tc>
        <w:tc>
          <w:tcPr>
            <w:tcW w:type="dxa" w:w="4986"/>
          </w:tcPr>
          <w:p>
            <w:pPr>
              <w:jc w:val="center"/>
            </w:pPr>
            <w:r>
              <w:rPr>
                <w:rFonts w:ascii="Malgun Gothic" w:hAnsi="Malgun Gothic" w:eastAsia="맑은 고딕"/>
                <w:b w:val="0"/>
                <w:color w:val="555555"/>
                <w:sz w:val="17"/>
              </w:rPr>
              <w:t>그림 4. 구멍 크기에 따른 SCF 변화</w:t>
            </w:r>
          </w:p>
        </w:tc>
      </w:tr>
    </w:tbl>
    <w:p>
      <w:r>
        <w:rPr>
          <w:rFonts w:ascii="Malgun Gothic" w:hAnsi="Malgun Gothic" w:eastAsia="맑은 고딕"/>
          <w:sz w:val="20"/>
        </w:rPr>
        <w:t>[결과 해석] 최대 응력과 SCF 모두 구멍 크기가 커질수록 단조 감소하는 경향을 보였다(최대 응력 55.4→41.5 MPa, SCF 2.64→1.98). 이는 본 해석이 변위 구속 조건이기 때문이다. 즉 구멍이 커질수록 평판의 강성이 낮아져 같은 강제 변위 Δ를 주더라도 판이 전달하는 하중(반력)이 줄고, 그 결과 홀 가장자리의 첨두 응력 자체가 감소한다. 한편 가장 작은 구멍(r=0.05)에서 SCF는 약 2.64로, 무한 평판·소형 원공의 고전 Kirsch 이론값 3에 비교적 근접하여 해석의 타당성을 보여 준다.</w:t>
      </w:r>
    </w:p>
    <w:p>
      <w:r>
        <w:rPr>
          <w:rFonts w:ascii="Malgun Gothic" w:hAnsi="Malgun Gothic" w:eastAsia="맑은 고딕"/>
          <w:sz w:val="20"/>
        </w:rPr>
        <w:t>[해석상 고려사항] SCF가 이론값 3보다 다소 낮게 나타난 주된 원인은 요소 종류와 메쉬 밀도에 있다. 본 해석에 사용된 CST(상수변형률 삼각형)는 요소당 응력이 일정하여, 응력 구배가 매우 급격한 홀 가장자리에서 첨두 응력을 과소평가한다. 따라서 홀 주변 메쉬를 더 조밀하게 하면 첨두 응력이 증가해 SCF가 이론값 3에 더 근접할 것으로 판단된다. 또한 본 시편은 높이 H가 짧고 구멍이 상·하 경계에 근접해 무한 스트립 가정에서 벗어나므로, 구멍이 커질수록 이론값과의 차이가 커지는 유한 효과도 함께 작용한다.</w:t>
      </w:r>
    </w:p>
    <w:p>
      <w:pPr>
        <w:spacing w:before="0" w:after="60"/>
      </w:pPr>
      <w:r>
        <w:rPr>
          <w:rFonts w:ascii="Malgun Gothic" w:hAnsi="Malgun Gothic" w:eastAsia="맑은 고딕"/>
          <w:b/>
          <w:color w:val="1F3764"/>
          <w:sz w:val="26"/>
        </w:rPr>
        <w:t>Homework #2. 압입시험 데이터 기반 탄성계수(E) 예측 인공신경망</w:t>
      </w:r>
    </w:p>
    <w:p>
      <w:r>
        <w:rPr>
          <w:rFonts w:ascii="Malgun Gothic" w:hAnsi="Malgun Gothic" w:eastAsia="맑은 고딕"/>
          <w:sz w:val="20"/>
        </w:rPr>
        <w:t>수업에서 항복강도(YS)를 예측하던 동일 데이터셋(4,500개)을 사용하되, 목표변수(target)를 탄성계수 E로 변경하여 인공신경망(ANN)을 학습하였다. 입력변수(12개)는 Pmax, Stiffness2(제하 강성), Slope1~5, 30~150 µm 변위에서의 하중값이다.</w:t>
      </w:r>
    </w:p>
    <w:p>
      <w:pPr>
        <w:spacing w:before="80" w:after="40"/>
      </w:pPr>
      <w:r>
        <w:rPr>
          <w:rFonts w:ascii="Malgun Gothic" w:hAnsi="Malgun Gothic" w:eastAsia="맑은 고딕"/>
          <w:b/>
          <w:sz w:val="22"/>
        </w:rPr>
        <w:t>1) 모델 구성 및 학습 과정</w:t>
      </w:r>
    </w:p>
    <w:p>
      <w:pPr>
        <w:pStyle w:val="ListBullet"/>
        <w:spacing w:after="40"/>
      </w:pPr>
      <w:r>
        <w:rPr>
          <w:rFonts w:ascii="Malgun Gothic" w:hAnsi="Malgun Gothic" w:eastAsia="맑은 고딕"/>
          <w:sz w:val="20"/>
        </w:rPr>
        <w:t>모델: 다층 퍼셉트론(MLP) — Dense(128)-Dense(128)-Dropout(0.2)-Dense(64)-Dense(32)-Dense(1), 활성함수 ReLU, L2 정규화.</w:t>
      </w:r>
    </w:p>
    <w:p>
      <w:pPr>
        <w:pStyle w:val="ListBullet"/>
        <w:spacing w:after="40"/>
      </w:pPr>
      <w:r>
        <w:rPr>
          <w:rFonts w:ascii="Malgun Gothic" w:hAnsi="Malgun Gothic" w:eastAsia="맑은 고딕"/>
          <w:sz w:val="20"/>
        </w:rPr>
        <w:t>손실함수 MAPE, 최적화기 Adam(lr=1e-3), 입력 Min-Max 정규화, 데이터 분할 70/15/15(train/val/test), EarlyStopping 적용.</w:t>
      </w:r>
    </w:p>
    <w:p>
      <w:pPr>
        <w:jc w:val="center"/>
      </w:pPr>
      <w:r>
        <w:drawing>
          <wp:inline xmlns:a="http://schemas.openxmlformats.org/drawingml/2006/main" xmlns:pic="http://schemas.openxmlformats.org/drawingml/2006/picture">
            <wp:extent cx="3960000" cy="2475000"/>
            <wp:docPr id="5" name="Picture 5"/>
            <wp:cNvGraphicFramePr>
              <a:graphicFrameLocks noChangeAspect="1"/>
            </wp:cNvGraphicFramePr>
            <a:graphic>
              <a:graphicData uri="http://schemas.openxmlformats.org/drawingml/2006/picture">
                <pic:pic>
                  <pic:nvPicPr>
                    <pic:cNvPr id="0" name="E_mape_curve.png"/>
                    <pic:cNvPicPr/>
                  </pic:nvPicPr>
                  <pic:blipFill>
                    <a:blip r:embed="rId13"/>
                    <a:stretch>
                      <a:fillRect/>
                    </a:stretch>
                  </pic:blipFill>
                  <pic:spPr>
                    <a:xfrm>
                      <a:off x="0" y="0"/>
                      <a:ext cx="3960000" cy="2475000"/>
                    </a:xfrm>
                    <a:prstGeom prst="rect"/>
                  </pic:spPr>
                </pic:pic>
              </a:graphicData>
            </a:graphic>
          </wp:inline>
        </w:drawing>
      </w:r>
    </w:p>
    <w:p>
      <w:pPr>
        <w:jc w:val="center"/>
      </w:pPr>
      <w:r>
        <w:rPr>
          <w:rFonts w:ascii="Malgun Gothic" w:hAnsi="Malgun Gothic" w:eastAsia="맑은 고딕"/>
          <w:color w:val="555555"/>
          <w:sz w:val="17"/>
        </w:rPr>
        <w:t>그림 4. Epoch에 따른 MAPE 변화 곡선 (Training/Validation)</w:t>
      </w:r>
    </w:p>
    <w:p>
      <w:r>
        <w:rPr>
          <w:rFonts w:ascii="Malgun Gothic" w:hAnsi="Malgun Gothic" w:eastAsia="맑은 고딕"/>
          <w:sz w:val="20"/>
        </w:rPr>
        <w:t>[학습 과정 해석] 그림 4의 MAPE 곡선은 학습이 진행되는 동안 모델의 거동을 단계적으로 보여 준다. ①(초기 급감, 약 0~10 epoch) Training MAPE는 약 55%, Validation MAPE는 약 21%에서 출발하여 불과 십여 epoch 만에 수 % 수준으로 급격히 감소한다. 이는 신경망이 입력 변수와 탄성계수 사이의 가장 지배적인 관계(특히 제하 강성과 E의 비례 관계)를 매우 빠르게 학습함을 의미한다. ②(최적 일반화 시점) 검증 MAPE는 약 8 epoch에서 최저에 도달하여, 모델이 처음 보는 데이터에 대해 가장 잘 일반화되는 지점이 된다. ③(과적합 구간) 이후 Training MAPE는 약 1%까지 계속 감소하지만 Validation MAPE는 오히려 상승하여 약 15% 수준에서 정체(plateau)한다. 두 곡선이 크게 벌어진 채 1000 epoch까지 평탄하게 유지되는 것은 전형적인 과적합(overfitting)으로, 모델이 학습 데이터의 세부·잡음까지 외우기 시작하면서 일반화 성능이 더 이상 개선되지 않음을 보여 준다. ④(EarlyStopping의 역할) 검증 오차가 patience(1000 epoch) 동안 개선되지 않자 약 1000 epoch 부근에서 학습이 자동 종료되었고, restore_best_weights 설정에 따라 최종 모델은 과적합된 후반 상태가 아니라 ②의 최적 시점(epoch 8) 가중치로 복원되었다. 그 결과 테스트 성능이 MAPE 1.25%로 우수하게 유지될 수 있었다.</w:t>
      </w:r>
    </w:p>
    <w:p>
      <w:pPr>
        <w:spacing w:before="80" w:after="40"/>
      </w:pPr>
      <w:r>
        <w:rPr>
          <w:rFonts w:ascii="Malgun Gothic" w:hAnsi="Malgun Gothic" w:eastAsia="맑은 고딕"/>
          <w:b/>
          <w:sz w:val="22"/>
        </w:rPr>
        <w:t>2) 예측 성능 평가 및 예측 정확도 분석 (Test data)</w:t>
      </w:r>
    </w:p>
    <w:p>
      <w:r>
        <w:rPr>
          <w:rFonts w:ascii="Malgun Gothic" w:hAnsi="Malgun Gothic" w:eastAsia="맑은 고딕"/>
          <w:sz w:val="20"/>
        </w:rPr>
        <w:t>최적 모델(epoch 8의 복원된 가중치)을 학습에 사용하지 않은 테스트 데이터에 적용하여 예측 성능을 정량적으로 평가하였다. 결과는 다음과 같다.</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pPr>
              <w:jc w:val="center"/>
            </w:pPr>
            <w:r>
              <w:rPr>
                <w:rFonts w:ascii="Malgun Gothic" w:hAnsi="Malgun Gothic" w:eastAsia="맑은 고딕"/>
                <w:b/>
                <w:sz w:val="18"/>
              </w:rPr>
              <w:t>지표</w:t>
            </w:r>
          </w:p>
        </w:tc>
        <w:tc>
          <w:tcPr>
            <w:tcW w:type="dxa" w:w="2493"/>
          </w:tcPr>
          <w:p>
            <w:pPr>
              <w:jc w:val="center"/>
            </w:pPr>
            <w:r>
              <w:rPr>
                <w:rFonts w:ascii="Malgun Gothic" w:hAnsi="Malgun Gothic" w:eastAsia="맑은 고딕"/>
                <w:b/>
                <w:sz w:val="18"/>
              </w:rPr>
              <w:t>MAPE</w:t>
            </w:r>
          </w:p>
        </w:tc>
        <w:tc>
          <w:tcPr>
            <w:tcW w:type="dxa" w:w="2493"/>
          </w:tcPr>
          <w:p>
            <w:pPr>
              <w:jc w:val="center"/>
            </w:pPr>
            <w:r>
              <w:rPr>
                <w:rFonts w:ascii="Malgun Gothic" w:hAnsi="Malgun Gothic" w:eastAsia="맑은 고딕"/>
                <w:b/>
                <w:sz w:val="18"/>
              </w:rPr>
              <w:t>MAE</w:t>
            </w:r>
          </w:p>
        </w:tc>
        <w:tc>
          <w:tcPr>
            <w:tcW w:type="dxa" w:w="2493"/>
          </w:tcPr>
          <w:p>
            <w:pPr>
              <w:jc w:val="center"/>
            </w:pPr>
            <w:r>
              <w:rPr>
                <w:rFonts w:ascii="Malgun Gothic" w:hAnsi="Malgun Gothic" w:eastAsia="맑은 고딕"/>
                <w:b/>
                <w:sz w:val="18"/>
              </w:rPr>
              <w:t>RMSE</w:t>
            </w:r>
          </w:p>
        </w:tc>
      </w:tr>
      <w:tr>
        <w:tc>
          <w:tcPr>
            <w:tcW w:type="dxa" w:w="2493"/>
          </w:tcPr>
          <w:p>
            <w:pPr>
              <w:jc w:val="center"/>
            </w:pPr>
            <w:r>
              <w:rPr>
                <w:rFonts w:ascii="Malgun Gothic" w:hAnsi="Malgun Gothic" w:eastAsia="맑은 고딕"/>
                <w:sz w:val="18"/>
              </w:rPr>
              <w:t>값</w:t>
            </w:r>
          </w:p>
        </w:tc>
        <w:tc>
          <w:tcPr>
            <w:tcW w:type="dxa" w:w="2493"/>
          </w:tcPr>
          <w:p>
            <w:pPr>
              <w:jc w:val="center"/>
            </w:pPr>
            <w:r>
              <w:rPr>
                <w:rFonts w:ascii="Malgun Gothic" w:hAnsi="Malgun Gothic" w:eastAsia="맑은 고딕"/>
                <w:sz w:val="18"/>
              </w:rPr>
              <w:t>1.25 %</w:t>
            </w:r>
          </w:p>
        </w:tc>
        <w:tc>
          <w:tcPr>
            <w:tcW w:type="dxa" w:w="2493"/>
          </w:tcPr>
          <w:p>
            <w:pPr>
              <w:jc w:val="center"/>
            </w:pPr>
            <w:r>
              <w:rPr>
                <w:rFonts w:ascii="Malgun Gothic" w:hAnsi="Malgun Gothic" w:eastAsia="맑은 고딕"/>
                <w:sz w:val="18"/>
              </w:rPr>
              <w:t>1.92 GPa</w:t>
            </w:r>
          </w:p>
        </w:tc>
        <w:tc>
          <w:tcPr>
            <w:tcW w:type="dxa" w:w="2493"/>
          </w:tcPr>
          <w:p>
            <w:pPr>
              <w:jc w:val="center"/>
            </w:pPr>
            <w:r>
              <w:rPr>
                <w:rFonts w:ascii="Malgun Gothic" w:hAnsi="Malgun Gothic" w:eastAsia="맑은 고딕"/>
                <w:sz w:val="18"/>
              </w:rPr>
              <w:t>2.68 GPa</w:t>
            </w:r>
          </w:p>
        </w:tc>
      </w:tr>
    </w:tbl>
    <w:p>
      <w:pPr>
        <w:jc w:val="center"/>
      </w:pPr>
      <w:r>
        <w:drawing>
          <wp:inline xmlns:a="http://schemas.openxmlformats.org/drawingml/2006/main" xmlns:pic="http://schemas.openxmlformats.org/drawingml/2006/picture">
            <wp:extent cx="2951999" cy="2951999"/>
            <wp:docPr id="6" name="Picture 6"/>
            <wp:cNvGraphicFramePr>
              <a:graphicFrameLocks noChangeAspect="1"/>
            </wp:cNvGraphicFramePr>
            <a:graphic>
              <a:graphicData uri="http://schemas.openxmlformats.org/drawingml/2006/picture">
                <pic:pic>
                  <pic:nvPicPr>
                    <pic:cNvPr id="0" name="E_reference_vs_prediction.png"/>
                    <pic:cNvPicPr/>
                  </pic:nvPicPr>
                  <pic:blipFill>
                    <a:blip r:embed="rId14"/>
                    <a:stretch>
                      <a:fillRect/>
                    </a:stretch>
                  </pic:blipFill>
                  <pic:spPr>
                    <a:xfrm>
                      <a:off x="0" y="0"/>
                      <a:ext cx="2951999" cy="2951999"/>
                    </a:xfrm>
                    <a:prstGeom prst="rect"/>
                  </pic:spPr>
                </pic:pic>
              </a:graphicData>
            </a:graphic>
          </wp:inline>
        </w:drawing>
      </w:r>
    </w:p>
    <w:p>
      <w:pPr>
        <w:jc w:val="center"/>
      </w:pPr>
      <w:r>
        <w:rPr>
          <w:rFonts w:ascii="Malgun Gothic" w:hAnsi="Malgun Gothic" w:eastAsia="맑은 고딕"/>
          <w:color w:val="555555"/>
          <w:sz w:val="17"/>
        </w:rPr>
        <w:t>그림 5. 실제값(Reference) vs 예측값(Prediction) — Target: E</w:t>
      </w:r>
    </w:p>
    <w:p>
      <w:r>
        <w:rPr>
          <w:rFonts w:ascii="Malgun Gothic" w:hAnsi="Malgun Gothic" w:eastAsia="맑은 고딕"/>
          <w:sz w:val="20"/>
        </w:rPr>
        <w:t>[성능 해석] 탄성계수의 분포 범위가 60~240 GPa임을 고려하면, MAPE 1.25%와 MAE 약 1.92 GPa는 매우 높은 예측 정확도에 해당한다. RMSE(2.68 GPa)가 MAE보다 다소 큰 것은 일부 표본에서 상대적으로 큰 오차가 존재함을 의미하지만, 두 값의 차이가 크지 않아 예측을 크게 벗어나는 이상치(outlier)는 거의 없음을 알 수 있다.</w:t>
      </w:r>
    </w:p>
    <w:p>
      <w:r>
        <w:rPr>
          <w:rFonts w:ascii="Malgun Gothic" w:hAnsi="Malgun Gothic" w:eastAsia="맑은 고딕"/>
          <w:sz w:val="20"/>
        </w:rPr>
        <w:t>[예측 정확도 분석] 그림 5의 실제값–예측값 산점도는 거의 모든 점이 이상선(y=x) 위에 조밀하게 분포하여, 낮은 탄성계수부터 높은 탄성계수까지 전 구간에서 고르게 정확함을 보여 준다. 다만 E가 큰 영역(약 220 GPa 이상)에서 산포가 다소 커지는 경향이 관찰되는데, 이는 해당 구간의 학습 표본이 상대적으로 적거나 고강성 영역의 거동이 더 복잡하기 때문으로 해석된다. 참고로 동일 모델로 항복강도(YS)를 예측했을 때(MAPE 약 15%)보다 훨씬 우수한데, 이는 탄성계수가 제하 강성과 직접 연결되어 압입 데이터로부터 예측하기 용이한 물성이기 때문이다.</w:t>
      </w:r>
    </w:p>
    <w:p>
      <w:pPr>
        <w:spacing w:before="80" w:after="40"/>
      </w:pPr>
      <w:r>
        <w:rPr>
          <w:rFonts w:ascii="Malgun Gothic" w:hAnsi="Malgun Gothic" w:eastAsia="맑은 고딕"/>
          <w:b/>
          <w:sz w:val="22"/>
        </w:rPr>
        <w:t>3) 입력 변수 중요도 분석 (Permutation Importance &amp; SHAP)</w:t>
      </w:r>
    </w:p>
    <w:p>
      <w:r>
        <w:rPr>
          <w:rFonts w:ascii="Malgun Gothic" w:hAnsi="Malgun Gothic" w:eastAsia="맑은 고딕"/>
          <w:sz w:val="20"/>
        </w:rPr>
        <w:t>[방법] 학습된 모델이 12개 입력 변수 중 무엇에 의존하여 탄성계수를 예측하는지 확인하기 위해 두 가지 해석 기법을 적용하였다. Permutation Importance는 특정 변수의 값만 무작위로 섞은 뒤 예측 오차(MAPE)가 얼마나 증가하는지를 측정하는 방법으로 증가량이 클수록 중요한 변수이며, SHAP은 게임이론의 Shapley 값을 이용해 각 예측에 대한 변수별 기여도를 정량화한다. 원리가 서로 다른 두 방법을 함께 사용해 결과를 교차 검증하였다.</w:t>
      </w:r>
    </w:p>
    <w:tbl>
      <w:tblPr>
        <w:tblW w:type="auto" w:w="0"/>
        <w:tblLayout w:type="autofit"/>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556000" cy="1917000"/>
                  <wp:docPr id="7" name="Picture 7"/>
                  <wp:cNvGraphicFramePr>
                    <a:graphicFrameLocks noChangeAspect="1"/>
                  </wp:cNvGraphicFramePr>
                  <a:graphic>
                    <a:graphicData uri="http://schemas.openxmlformats.org/drawingml/2006/picture">
                      <pic:pic>
                        <pic:nvPicPr>
                          <pic:cNvPr id="0" name="E_permutation_importance.png"/>
                          <pic:cNvPicPr/>
                        </pic:nvPicPr>
                        <pic:blipFill>
                          <a:blip r:embed="rId15"/>
                          <a:stretch>
                            <a:fillRect/>
                          </a:stretch>
                        </pic:blipFill>
                        <pic:spPr>
                          <a:xfrm>
                            <a:off x="0" y="0"/>
                            <a:ext cx="2556000" cy="1917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556000" cy="1917000"/>
                  <wp:docPr id="8" name="Picture 8"/>
                  <wp:cNvGraphicFramePr>
                    <a:graphicFrameLocks noChangeAspect="1"/>
                  </wp:cNvGraphicFramePr>
                  <a:graphic>
                    <a:graphicData uri="http://schemas.openxmlformats.org/drawingml/2006/picture">
                      <pic:pic>
                        <pic:nvPicPr>
                          <pic:cNvPr id="0" name="E_shap_importance.png"/>
                          <pic:cNvPicPr/>
                        </pic:nvPicPr>
                        <pic:blipFill>
                          <a:blip r:embed="rId16"/>
                          <a:stretch>
                            <a:fillRect/>
                          </a:stretch>
                        </pic:blipFill>
                        <pic:spPr>
                          <a:xfrm>
                            <a:off x="0" y="0"/>
                            <a:ext cx="2556000" cy="1917000"/>
                          </a:xfrm>
                          <a:prstGeom prst="rect"/>
                        </pic:spPr>
                      </pic:pic>
                    </a:graphicData>
                  </a:graphic>
                </wp:inline>
              </w:drawing>
            </w:r>
          </w:p>
        </w:tc>
      </w:tr>
      <w:tr>
        <w:tc>
          <w:tcPr>
            <w:tcW w:type="dxa" w:w="4986"/>
          </w:tcPr>
          <w:p>
            <w:pPr>
              <w:jc w:val="center"/>
            </w:pPr>
            <w:r>
              <w:rPr>
                <w:rFonts w:ascii="Malgun Gothic" w:hAnsi="Malgun Gothic" w:eastAsia="맑은 고딕"/>
                <w:b w:val="0"/>
                <w:color w:val="555555"/>
                <w:sz w:val="17"/>
              </w:rPr>
              <w:t>그림 6. Permutation Importance</w:t>
            </w:r>
          </w:p>
        </w:tc>
        <w:tc>
          <w:tcPr>
            <w:tcW w:type="dxa" w:w="4986"/>
          </w:tcPr>
          <w:p>
            <w:pPr>
              <w:jc w:val="center"/>
            </w:pPr>
            <w:r>
              <w:rPr>
                <w:rFonts w:ascii="Malgun Gothic" w:hAnsi="Malgun Gothic" w:eastAsia="맑은 고딕"/>
                <w:b w:val="0"/>
                <w:color w:val="555555"/>
                <w:sz w:val="17"/>
              </w:rPr>
              <w:t>그림 7. SHAP 변수 중요도</w:t>
            </w:r>
          </w:p>
        </w:tc>
      </w:tr>
    </w:tbl>
    <w:p>
      <w:r>
        <w:rPr>
          <w:rFonts w:ascii="Malgun Gothic" w:hAnsi="Malgun Gothic" w:eastAsia="맑은 고딕"/>
          <w:sz w:val="20"/>
        </w:rPr>
        <w:t>[결과 해석] 그림 6·7에서 보듯 두 방법 모두 Stiffness2(제하 강성, unloading stiffness)를 가장 중요한 변수로 일관되게 지목하였다. 그 영향력은 압도적이어서, Permutation Importance에서는 이 변수를 무작위로 섞었을 때 테스트 MAPE가 약 +50%p나 폭증한 반면 나머지 변수들은 +2%p 이하에 그쳤고, SHAP에서도 평균 기여도가 약 46 GPa로 2위 변수의 약 15배에 달하였다. 즉 모델의 탄성계수 예측은 사실상 제하 강성 하나에 의해 지배된다고 볼 수 있다.</w:t>
      </w:r>
    </w:p>
    <w:p>
      <w:r>
        <w:rPr>
          <w:rFonts w:ascii="Malgun Gothic" w:hAnsi="Malgun Gothic" w:eastAsia="맑은 고딕"/>
          <w:sz w:val="20"/>
        </w:rPr>
        <w:t>[물리적 해석] 이 결과는 압입역학적으로 매우 타당하다. Oliver–Pharr 이론에 따르면 환산 탄성계수 Er은 제하 곡선 초기 기울기인 제하 강성 S와 직접 비례한다(Er = (√π/2)·S/√A, A는 접촉면적). 따라서 탄성계수와 가장 강하게 연결된 물리량이 바로 제하 강성이며, 신경망이 별도의 물리 지식 없이 데이터만으로 이 관계를 스스로 찾아냈음을 의미한다. 이는 모델이 수치를 단순 암기한 것이 아니라 물리적으로 의미 있는 패턴을 학습했다는 강력한 근거가 된다.</w:t>
      </w:r>
    </w:p>
    <w:p>
      <w:r>
        <w:rPr>
          <w:rFonts w:ascii="Malgun Gothic" w:hAnsi="Malgun Gothic" w:eastAsia="맑은 고딕"/>
          <w:sz w:val="20"/>
        </w:rPr>
        <w:t>[보조 변수 및 신뢰성] 다음으로 Slope4·Slope5(제하 구간의 기울기)와 일부 변위 변수가 부차적으로 기여하는데, 이들 역시 제하 거동·강성과 관련된 양이라는 점에서 합리적이다. 다만 이러한 변수들은 제하 강성과 물리적으로 상관관계가 있어 중요도가 Stiffness2에 집중되는 경향이 나타날 수 있다. 그럼에도 원리가 독립적인 두 기법이 동일하게 제하 강성을 1순위로 제시한 점에서, '제하 강성이 탄성계수 예측의 핵심 인자'라는 결론은 높은 신뢰성을 갖는다.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