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pStyle w:val="ListBullet"/>
        <w:spacing w:after="40"/>
      </w:pPr>
      <w:r>
        <w:rPr>
          <w:rFonts w:ascii="Malgun Gothic" w:hAnsi="Malgun Gothic" w:eastAsia="맑은 고딕"/>
          <w:sz w:val="20"/>
        </w:rPr>
        <w:t>학습 곡선(그림 4): Training MAPE는 epoch 증가에 따라 빠르게 감소하여 ~1%로 수렴, Validation MAPE도 낮은 수준에서 안정화되어 양호하게 학습됨.</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5975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2556000" cy="15975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2556000"/>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556000" cy="2556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4. Epoch에 따른 MAPE 변화 곡선</w:t>
            </w:r>
          </w:p>
        </w:tc>
        <w:tc>
          <w:tcPr>
            <w:tcW w:type="dxa" w:w="4986"/>
          </w:tcPr>
          <w:p>
            <w:pPr>
              <w:jc w:val="center"/>
            </w:pPr>
            <w:r>
              <w:rPr>
                <w:rFonts w:ascii="Malgun Gothic" w:hAnsi="Malgun Gothic" w:eastAsia="맑은 고딕"/>
                <w:b w:val="0"/>
                <w:color w:val="555555"/>
                <w:sz w:val="17"/>
              </w:rPr>
              <w:t>그림 5. 실제값 vs 예측값 (Test)</w:t>
            </w:r>
          </w:p>
        </w:tc>
      </w:tr>
    </w:tbl>
    <w:p>
      <w:pPr>
        <w:spacing w:before="80" w:after="40"/>
      </w:pPr>
      <w:r>
        <w:rPr>
          <w:rFonts w:ascii="Malgun Gothic" w:hAnsi="Malgun Gothic" w:eastAsia="맑은 고딕"/>
          <w:b/>
          <w:sz w:val="22"/>
        </w:rPr>
        <w:t>2) 예측 성능 평가 (Test data)</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1.16 %</w:t>
            </w:r>
          </w:p>
        </w:tc>
        <w:tc>
          <w:tcPr>
            <w:tcW w:type="dxa" w:w="2493"/>
          </w:tcPr>
          <w:p>
            <w:pPr>
              <w:jc w:val="center"/>
            </w:pPr>
            <w:r>
              <w:rPr>
                <w:rFonts w:ascii="Malgun Gothic" w:hAnsi="Malgun Gothic" w:eastAsia="맑은 고딕"/>
                <w:sz w:val="18"/>
              </w:rPr>
              <w:t>1.72 GPa</w:t>
            </w:r>
          </w:p>
        </w:tc>
        <w:tc>
          <w:tcPr>
            <w:tcW w:type="dxa" w:w="2493"/>
          </w:tcPr>
          <w:p>
            <w:pPr>
              <w:jc w:val="center"/>
            </w:pPr>
            <w:r>
              <w:rPr>
                <w:rFonts w:ascii="Malgun Gothic" w:hAnsi="Malgun Gothic" w:eastAsia="맑은 고딕"/>
                <w:sz w:val="18"/>
              </w:rPr>
              <w:t>2.37 GPa</w:t>
            </w:r>
          </w:p>
        </w:tc>
      </w:tr>
    </w:tbl>
    <w:p>
      <w:r>
        <w:rPr>
          <w:rFonts w:ascii="Malgun Gothic" w:hAnsi="Malgun Gothic" w:eastAsia="맑은 고딕"/>
          <w:sz w:val="20"/>
        </w:rPr>
        <w:t>그림 5의 실제값–예측값 산점도가 이상선(y=x)에 거의 완벽히 일치하며, MAPE 약 1.2%로 매우 높은 예측 정확도를 보였다. (참고: 동일 모델로 YS를 예측했을 때의 ~15%보다 훨씬 우수하며, 이는 탄성계수가 압입 데이터로 예측하기 용이한 물성임을 시사한다.)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일반화: 입력 변수의 스케일 차이를 Min-Max 정규화로 통일하여 학습 안정성을 확보하였고, Dropout(0.2)·L2 정규화·EarlyStopping을 통해 과적합을 억제하였다. Training MAPE와 Validation MAPE의 격차가 크지 않아 모델이 안정적으로 일반화되었음을 확인하였다.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