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14-text-heavy-with-one-image</w:t>
      </w:r>
    </w:p>
    <w:p>
      <w:r>
        <w:rPr>
          <w:sz w:val="24"/>
          <w:szCs w:val="24"/>
        </w:rPr>
        <w:t xml:space="preserve">We completed the security audit successfully.</w:t>
      </w:r>
    </w:p>
    <w:p>
      <w:r>
        <w:rPr>
          <w:sz w:val="24"/>
          <w:szCs w:val="24"/>
        </w:rPr>
        <w:t xml:space="preserve">All critical vulnerabilities have been patched.</w:t>
      </w:r>
    </w:p>
    <w:p>
      <w:r>
        <w:drawing>
          <wp:inline distT="0" distB="0" distL="0" distR="0">
            <wp:extent cx="4286250" cy="304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sz w:val="24"/>
          <w:szCs w:val="24"/>
        </w:rPr>
        <w:t xml:space="preserve">Full report is attached separately.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fbcd069c994f1337d21da1b51410402e284ea4e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2026-04-09T12:24:09.723Z</dcterms:created>
  <dcterms:modified xsi:type="dcterms:W3CDTF">2026-04-09T12:24:09.723Z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