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20-mixed-five-elements</w:t>
      </w:r>
    </w:p>
    <w:p>
      <w:r>
        <w:rPr>
          <w:sz w:val="24"/>
          <w:szCs w:val="24"/>
        </w:rPr>
        <w:t xml:space="preserve">Database schema changes are documented here.</w:t>
      </w:r>
    </w:p>
    <w:p>
      <w:r>
        <w:drawing>
          <wp:inline distT="0" distB="0" distL="0" distR="0">
            <wp:extent cx="428625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4"/>
          <w:szCs w:val="24"/>
        </w:rPr>
        <w:t xml:space="preserve">Migration scripts were tested thoroughly.</w:t>
      </w:r>
    </w:p>
    <w:p>
      <w:r>
        <w:drawing>
          <wp:inline distT="0" distB="0" distL="0" distR="0">
            <wp:extent cx="428625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4"/>
          <w:szCs w:val="24"/>
        </w:rPr>
        <w:t xml:space="preserve">Rollback plan is ready if needed.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fbcd069c994f1337d21da1b51410402e284ea4e.png"/><Relationship Id="rId8" Type="http://schemas.openxmlformats.org/officeDocument/2006/relationships/image" Target="media/e323db3818cb93af954dc5c1b038a747c98c4b3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2026-04-09T12:24:10.020Z</dcterms:created>
  <dcterms:modified xsi:type="dcterms:W3CDTF">2026-04-09T12:24:10.020Z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