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21-bulletin-style</w:t>
      </w:r>
    </w:p>
    <w:p>
      <w:r>
        <w:rPr>
          <w:sz w:val="24"/>
          <w:szCs w:val="24"/>
        </w:rPr>
        <w:t xml:space="preserve">Monthly engineering update: April edition.</w:t>
      </w:r>
    </w:p>
    <w:p>
      <w:r>
        <w:drawing>
          <wp:inline distT="0" distB="0" distL="0" distR="0">
            <wp:extent cx="52387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e80216a0e56b538b5543638881176e6db15a3d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2026-04-09T12:24:10.074Z</dcterms:created>
  <dcterms:modified xsi:type="dcterms:W3CDTF">2026-04-09T12:24:10.074Z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