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30-four-texts</w:t>
      </w:r>
    </w:p>
    <w:p>
      <w:r>
        <w:rPr>
          <w:sz w:val="24"/>
          <w:szCs w:val="24"/>
        </w:rPr>
        <w:t xml:space="preserve">Step one: open the configuration panel.</w:t>
      </w:r>
    </w:p>
    <w:p>
      <w:r>
        <w:rPr>
          <w:sz w:val="24"/>
          <w:szCs w:val="24"/>
        </w:rPr>
        <w:t xml:space="preserve">Step two: select the target environment.</w:t>
      </w:r>
    </w:p>
    <w:p>
      <w:r>
        <w:rPr>
          <w:sz w:val="24"/>
          <w:szCs w:val="24"/>
        </w:rPr>
        <w:t xml:space="preserve">Step three: apply the changes.</w:t>
      </w:r>
    </w:p>
    <w:p>
      <w:r>
        <w:rPr>
          <w:sz w:val="24"/>
          <w:szCs w:val="24"/>
        </w:rPr>
        <w:t xml:space="preserve">Step four: verify the deployment status.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2026-04-09T12:24:10.615Z</dcterms:created>
  <dcterms:modified xsi:type="dcterms:W3CDTF">2026-04-09T12:24:10.615Z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