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37-image-sandwich-double</w:t>
      </w:r>
    </w:p>
    <w:p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Transition between phases is seamless.</w:t>
      </w:r>
    </w:p>
    <w:p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Final state matches the expected output.</w:t>
      </w:r>
    </w:p>
    <w:p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23db3818cb93af954dc5c1b038a747c98c4b36.png"/><Relationship Id="rId8" Type="http://schemas.openxmlformats.org/officeDocument/2006/relationships/image" Target="media/9de7dc24303c30a5fdedf76385dcf5f746f42414.png"/><Relationship Id="rId9" Type="http://schemas.openxmlformats.org/officeDocument/2006/relationships/image" Target="media/ae80216a0e56b538b5543638881176e6db15a3d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2026-04-09T12:24:11.093Z</dcterms:created>
  <dcterms:modified xsi:type="dcterms:W3CDTF">2026-04-09T12:24:11.093Z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