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14-text-heavy-with-one-image</w:t>
      </w:r>
    </w:p>
    <w:p>
      <w:r>
        <w:rPr>
          <w:sz w:val="24"/>
          <w:szCs w:val="24"/>
        </w:rPr>
        <w:t xml:space="preserve">We completed the security audit successfully.</w:t>
      </w:r>
    </w:p>
    <w:p>
      <w:r>
        <w:rPr>
          <w:sz w:val="24"/>
          <w:szCs w:val="24"/>
        </w:rPr>
        <w:t xml:space="preserve">All critical vulnerabilities have been patched.</w:t>
      </w:r>
    </w:p>
    <w:p>
      <w:r>
        <w:drawing>
          <wp:inline distT="0" distB="0" distL="0" distR="0">
            <wp:extent cx="42862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Full report is attached separately.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2026-04-10T09:27:11.490Z</dcterms:created>
  <dcterms:modified xsi:type="dcterms:W3CDTF">2026-04-10T09:27:11.490Z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