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17-two-texts-one-image</w:t>
      </w:r>
    </w:p>
    <w:p>
      <w:r>
        <w:rPr>
          <w:sz w:val="24"/>
          <w:szCs w:val="24"/>
        </w:rPr>
        <w:t xml:space="preserve">Sprint review highlights for this iteration.</w:t>
      </w:r>
    </w:p>
    <w:p>
      <w:r>
        <w:rPr>
          <w:sz w:val="24"/>
          <w:szCs w:val="24"/>
        </w:rPr>
        <w:t xml:space="preserve">Velocity improved by twelve percent overall.</w:t>
      </w:r>
    </w:p>
    <w:p>
      <w:r>
        <w:drawing>
          <wp:inline distT="0" distB="0" distL="0" distR="0">
            <wp:extent cx="4762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bcd069c994f1337d21da1b51410402e284ea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2026-04-10T09:27:11.667Z</dcterms:created>
  <dcterms:modified xsi:type="dcterms:W3CDTF">2026-04-10T09:27:11.667Z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