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20-mixed-five-elements</w:t>
      </w:r>
    </w:p>
    <w:p>
      <w:r>
        <w:rPr>
          <w:sz w:val="24"/>
          <w:szCs w:val="24"/>
        </w:rPr>
        <w:t xml:space="preserve">Database schema changes are documented here.</w:t>
      </w:r>
    </w:p>
    <w:p>
      <w:r>
        <w:drawing>
          <wp:inline distT="0" distB="0" distL="0" distR="0">
            <wp:extent cx="42862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sz w:val="24"/>
          <w:szCs w:val="24"/>
        </w:rPr>
        <w:t xml:space="preserve">Migration scripts were tested thoroughly.</w:t>
      </w:r>
    </w:p>
    <w:p>
      <w:r>
        <w:drawing>
          <wp:inline distT="0" distB="0" distL="0" distR="0">
            <wp:extent cx="4286250" cy="2857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sz w:val="24"/>
          <w:szCs w:val="24"/>
        </w:rPr>
        <w:t xml:space="preserve">Rollback plan is ready if needed.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fbcd069c994f1337d21da1b51410402e284ea4e.png"/><Relationship Id="rId8" Type="http://schemas.openxmlformats.org/officeDocument/2006/relationships/image" Target="media/e323db3818cb93af954dc5c1b038a747c98c4b3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2026-04-10T09:27:11.826Z</dcterms:created>
  <dcterms:modified xsi:type="dcterms:W3CDTF">2026-04-10T09:27:11.826Z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