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2248E" w14:textId="6C5FD86E" w:rsidR="00CD2FE7" w:rsidRDefault="00CD2FE7" w:rsidP="00CD2FE7">
      <w:pPr>
        <w:spacing w:line="360" w:lineRule="auto"/>
        <w:jc w:val="both"/>
        <w:rPr>
          <w:rFonts w:ascii="Arial" w:hAnsi="Arial" w:cs="Arial"/>
          <w:b/>
          <w:sz w:val="20"/>
          <w:szCs w:val="20"/>
        </w:rPr>
      </w:pPr>
    </w:p>
    <w:p w14:paraId="1E83E4BD" w14:textId="26D121E5" w:rsidR="00CD2FE7" w:rsidRPr="00CD2FE7" w:rsidRDefault="00CD2FE7" w:rsidP="00CD055E">
      <w:pPr>
        <w:spacing w:after="120" w:line="276" w:lineRule="auto"/>
        <w:jc w:val="both"/>
        <w:rPr>
          <w:rFonts w:ascii="Arial" w:hAnsi="Arial" w:cs="Arial"/>
          <w:sz w:val="20"/>
          <w:szCs w:val="20"/>
        </w:rPr>
      </w:pPr>
      <w:r w:rsidRPr="00CD2FE7">
        <w:rPr>
          <w:rFonts w:ascii="Arial" w:hAnsi="Arial" w:cs="Arial"/>
          <w:b/>
          <w:sz w:val="20"/>
          <w:szCs w:val="20"/>
        </w:rPr>
        <w:t xml:space="preserve">Figure </w:t>
      </w:r>
      <w:commentRangeStart w:id="0"/>
      <w:commentRangeStart w:id="1"/>
      <w:commentRangeStart w:id="2"/>
      <w:r w:rsidRPr="00CD2FE7">
        <w:rPr>
          <w:rFonts w:ascii="Arial" w:hAnsi="Arial" w:cs="Arial"/>
          <w:b/>
          <w:sz w:val="20"/>
          <w:szCs w:val="20"/>
        </w:rPr>
        <w:t>1</w:t>
      </w:r>
      <w:commentRangeEnd w:id="0"/>
      <w:r w:rsidR="006741A5">
        <w:rPr>
          <w:rStyle w:val="CommentReference"/>
        </w:rPr>
        <w:commentReference w:id="0"/>
      </w:r>
      <w:commentRangeEnd w:id="1"/>
      <w:r w:rsidR="00FD59BD">
        <w:rPr>
          <w:rStyle w:val="CommentReference"/>
        </w:rPr>
        <w:commentReference w:id="1"/>
      </w:r>
      <w:commentRangeEnd w:id="2"/>
      <w:r w:rsidR="00223387">
        <w:rPr>
          <w:rStyle w:val="CommentReference"/>
        </w:rPr>
        <w:commentReference w:id="2"/>
      </w:r>
      <w:r w:rsidRPr="00CD2FE7">
        <w:rPr>
          <w:rFonts w:ascii="Arial" w:hAnsi="Arial" w:cs="Arial"/>
          <w:b/>
          <w:sz w:val="20"/>
          <w:szCs w:val="20"/>
        </w:rPr>
        <w:t xml:space="preserve">. </w:t>
      </w:r>
      <w:r w:rsidR="00CD055E">
        <w:rPr>
          <w:rFonts w:ascii="Arial" w:hAnsi="Arial" w:cs="Arial"/>
          <w:b/>
          <w:sz w:val="20"/>
          <w:szCs w:val="20"/>
        </w:rPr>
        <w:t>Regions of differential c</w:t>
      </w:r>
      <w:r w:rsidRPr="00CD2FE7">
        <w:rPr>
          <w:rFonts w:ascii="Arial" w:hAnsi="Arial" w:cs="Arial"/>
          <w:b/>
          <w:sz w:val="20"/>
          <w:szCs w:val="20"/>
        </w:rPr>
        <w:t xml:space="preserve">hromatin accessibility </w:t>
      </w:r>
      <w:r w:rsidR="008337AF">
        <w:rPr>
          <w:rFonts w:ascii="Arial" w:hAnsi="Arial" w:cs="Arial"/>
          <w:b/>
          <w:sz w:val="20"/>
          <w:szCs w:val="20"/>
        </w:rPr>
        <w:t xml:space="preserve">in </w:t>
      </w:r>
      <w:r w:rsidR="00254432">
        <w:rPr>
          <w:rFonts w:ascii="Arial" w:hAnsi="Arial" w:cs="Arial"/>
          <w:b/>
          <w:sz w:val="20"/>
          <w:szCs w:val="20"/>
        </w:rPr>
        <w:t xml:space="preserve">early </w:t>
      </w:r>
      <w:r w:rsidR="004D77DE">
        <w:rPr>
          <w:rFonts w:ascii="Arial" w:hAnsi="Arial" w:cs="Arial"/>
          <w:b/>
          <w:sz w:val="20"/>
          <w:szCs w:val="20"/>
        </w:rPr>
        <w:t>postnatal</w:t>
      </w:r>
      <w:r w:rsidRPr="00CD2FE7">
        <w:rPr>
          <w:rFonts w:ascii="Arial" w:hAnsi="Arial" w:cs="Arial"/>
          <w:b/>
          <w:sz w:val="20"/>
          <w:szCs w:val="20"/>
        </w:rPr>
        <w:t xml:space="preserve"> </w:t>
      </w:r>
      <w:r w:rsidR="004D77DE">
        <w:rPr>
          <w:rFonts w:ascii="Arial" w:hAnsi="Arial" w:cs="Arial"/>
          <w:b/>
          <w:sz w:val="20"/>
          <w:szCs w:val="20"/>
        </w:rPr>
        <w:t>and</w:t>
      </w:r>
      <w:r w:rsidR="004D77DE" w:rsidRPr="00CD2FE7">
        <w:rPr>
          <w:rFonts w:ascii="Arial" w:hAnsi="Arial" w:cs="Arial"/>
          <w:b/>
          <w:sz w:val="20"/>
          <w:szCs w:val="20"/>
        </w:rPr>
        <w:t xml:space="preserve"> </w:t>
      </w:r>
      <w:r w:rsidRPr="00CD2FE7">
        <w:rPr>
          <w:rFonts w:ascii="Arial" w:hAnsi="Arial" w:cs="Arial"/>
          <w:b/>
          <w:sz w:val="20"/>
          <w:szCs w:val="20"/>
        </w:rPr>
        <w:t xml:space="preserve">adult </w:t>
      </w:r>
      <w:r w:rsidR="004D77DE" w:rsidRPr="00CD2FE7">
        <w:rPr>
          <w:rFonts w:ascii="Arial" w:hAnsi="Arial" w:cs="Arial"/>
          <w:b/>
          <w:sz w:val="20"/>
          <w:szCs w:val="20"/>
        </w:rPr>
        <w:t xml:space="preserve">spermatogonial cells </w:t>
      </w:r>
      <w:r w:rsidR="00CD055E">
        <w:rPr>
          <w:rFonts w:ascii="Arial" w:hAnsi="Arial" w:cs="Arial"/>
          <w:b/>
          <w:sz w:val="20"/>
          <w:szCs w:val="20"/>
        </w:rPr>
        <w:t xml:space="preserve">associate with distinct gene programs </w:t>
      </w:r>
    </w:p>
    <w:p w14:paraId="44EAF1D0" w14:textId="400E039E" w:rsidR="00CD2FE7" w:rsidRPr="00CD2FE7" w:rsidRDefault="00CD2FE7" w:rsidP="00CD2FE7">
      <w:pPr>
        <w:numPr>
          <w:ilvl w:val="0"/>
          <w:numId w:val="5"/>
        </w:numPr>
        <w:spacing w:after="120" w:line="276" w:lineRule="auto"/>
        <w:jc w:val="both"/>
        <w:rPr>
          <w:rFonts w:ascii="Arial" w:hAnsi="Arial" w:cs="Arial"/>
          <w:sz w:val="20"/>
          <w:szCs w:val="20"/>
        </w:rPr>
      </w:pPr>
      <w:r w:rsidRPr="00CD2FE7">
        <w:rPr>
          <w:rFonts w:ascii="Arial" w:hAnsi="Arial" w:cs="Arial"/>
          <w:sz w:val="20"/>
          <w:szCs w:val="20"/>
        </w:rPr>
        <w:t xml:space="preserve">Volcano plot of differentially accessible regions (adjusted </w:t>
      </w:r>
      <w:r w:rsidRPr="00CD2FE7">
        <w:rPr>
          <w:rFonts w:ascii="Arial" w:hAnsi="Arial" w:cs="Arial"/>
          <w:i/>
          <w:sz w:val="20"/>
          <w:szCs w:val="20"/>
        </w:rPr>
        <w:t xml:space="preserve">P </w:t>
      </w:r>
      <w:r w:rsidRPr="00CD2FE7">
        <w:rPr>
          <w:rFonts w:ascii="Arial" w:hAnsi="Arial" w:cs="Arial"/>
          <w:sz w:val="20"/>
          <w:szCs w:val="20"/>
        </w:rPr>
        <w:t>≤ 0.05 and absolute Log</w:t>
      </w:r>
      <w:r w:rsidRPr="00CD2FE7">
        <w:rPr>
          <w:rFonts w:ascii="Arial" w:hAnsi="Arial" w:cs="Arial"/>
          <w:sz w:val="20"/>
          <w:szCs w:val="20"/>
          <w:vertAlign w:val="subscript"/>
        </w:rPr>
        <w:t>2</w:t>
      </w:r>
      <w:r w:rsidRPr="00CD2FE7">
        <w:rPr>
          <w:rFonts w:ascii="Arial" w:hAnsi="Arial" w:cs="Arial"/>
          <w:sz w:val="20"/>
          <w:szCs w:val="20"/>
        </w:rPr>
        <w:t xml:space="preserve"> FC ≥ 1) between PND15 </w:t>
      </w:r>
      <w:r w:rsidR="006741A5" w:rsidRPr="00CD2FE7">
        <w:rPr>
          <w:rFonts w:ascii="Arial" w:hAnsi="Arial" w:cs="Arial"/>
          <w:sz w:val="20"/>
          <w:szCs w:val="20"/>
        </w:rPr>
        <w:t xml:space="preserve">and adult </w:t>
      </w:r>
      <w:r w:rsidRPr="00CD2FE7">
        <w:rPr>
          <w:rFonts w:ascii="Arial" w:hAnsi="Arial" w:cs="Arial"/>
          <w:sz w:val="20"/>
          <w:szCs w:val="20"/>
        </w:rPr>
        <w:t>spermatogonial cells</w:t>
      </w:r>
      <w:r w:rsidR="006741A5" w:rsidRPr="006741A5">
        <w:rPr>
          <w:rFonts w:ascii="Arial" w:hAnsi="Arial" w:cs="Arial"/>
          <w:sz w:val="20"/>
          <w:szCs w:val="20"/>
        </w:rPr>
        <w:t xml:space="preserve"> </w:t>
      </w:r>
      <w:r w:rsidR="0022766E">
        <w:rPr>
          <w:rFonts w:ascii="Arial" w:hAnsi="Arial" w:cs="Arial"/>
          <w:sz w:val="20"/>
          <w:szCs w:val="20"/>
        </w:rPr>
        <w:t xml:space="preserve">identified </w:t>
      </w:r>
      <w:r w:rsidR="006741A5">
        <w:rPr>
          <w:rFonts w:ascii="Arial" w:hAnsi="Arial" w:cs="Arial"/>
          <w:sz w:val="20"/>
          <w:szCs w:val="20"/>
        </w:rPr>
        <w:t xml:space="preserve">by </w:t>
      </w:r>
      <w:r w:rsidR="006741A5" w:rsidRPr="00CD2FE7">
        <w:rPr>
          <w:rFonts w:ascii="Arial" w:hAnsi="Arial" w:cs="Arial"/>
          <w:sz w:val="20"/>
          <w:szCs w:val="20"/>
        </w:rPr>
        <w:t>ATAC-seq</w:t>
      </w:r>
      <w:r w:rsidR="008F4DD5">
        <w:rPr>
          <w:rFonts w:ascii="Arial" w:hAnsi="Arial" w:cs="Arial"/>
          <w:sz w:val="20"/>
          <w:szCs w:val="20"/>
        </w:rPr>
        <w:t xml:space="preserve"> (n = 6 for PND15 and 5 for adult stage)</w:t>
      </w:r>
      <w:r w:rsidRPr="00CD2FE7">
        <w:rPr>
          <w:rFonts w:ascii="Arial" w:hAnsi="Arial" w:cs="Arial"/>
          <w:sz w:val="20"/>
          <w:szCs w:val="20"/>
        </w:rPr>
        <w:t>;</w:t>
      </w:r>
    </w:p>
    <w:p w14:paraId="044B9986" w14:textId="497049C5" w:rsidR="00CD2FE7" w:rsidRPr="00CD2FE7" w:rsidRDefault="00CD2FE7" w:rsidP="00CD2FE7">
      <w:pPr>
        <w:numPr>
          <w:ilvl w:val="0"/>
          <w:numId w:val="5"/>
        </w:numPr>
        <w:spacing w:after="120" w:line="276" w:lineRule="auto"/>
        <w:jc w:val="both"/>
        <w:rPr>
          <w:rFonts w:ascii="Arial" w:hAnsi="Arial" w:cs="Arial"/>
          <w:sz w:val="20"/>
          <w:szCs w:val="20"/>
        </w:rPr>
      </w:pPr>
      <w:r w:rsidRPr="00CD2FE7">
        <w:rPr>
          <w:rFonts w:ascii="Arial" w:hAnsi="Arial" w:cs="Arial"/>
          <w:sz w:val="20"/>
          <w:szCs w:val="20"/>
        </w:rPr>
        <w:t xml:space="preserve">Bar plot illustrating the genomic distribution of differentially accessible </w:t>
      </w:r>
      <w:r w:rsidR="006741A5">
        <w:rPr>
          <w:rFonts w:ascii="Arial" w:hAnsi="Arial" w:cs="Arial"/>
          <w:sz w:val="20"/>
          <w:szCs w:val="20"/>
        </w:rPr>
        <w:t xml:space="preserve">chromatin </w:t>
      </w:r>
      <w:r w:rsidRPr="00CD2FE7">
        <w:rPr>
          <w:rFonts w:ascii="Arial" w:hAnsi="Arial" w:cs="Arial"/>
          <w:sz w:val="20"/>
          <w:szCs w:val="20"/>
        </w:rPr>
        <w:t xml:space="preserve">regions </w:t>
      </w:r>
      <w:r w:rsidR="006741A5">
        <w:rPr>
          <w:rFonts w:ascii="Arial" w:hAnsi="Arial" w:cs="Arial"/>
          <w:sz w:val="20"/>
          <w:szCs w:val="20"/>
        </w:rPr>
        <w:t>in</w:t>
      </w:r>
      <w:r w:rsidR="006741A5" w:rsidRPr="00CD2FE7">
        <w:rPr>
          <w:rFonts w:ascii="Arial" w:hAnsi="Arial" w:cs="Arial"/>
          <w:sz w:val="20"/>
          <w:szCs w:val="20"/>
        </w:rPr>
        <w:t xml:space="preserve"> </w:t>
      </w:r>
      <w:r w:rsidRPr="00CD2FE7">
        <w:rPr>
          <w:rFonts w:ascii="Arial" w:hAnsi="Arial" w:cs="Arial"/>
          <w:sz w:val="20"/>
          <w:szCs w:val="20"/>
        </w:rPr>
        <w:t xml:space="preserve">PND15 </w:t>
      </w:r>
      <w:r w:rsidR="006741A5" w:rsidRPr="00CD2FE7">
        <w:rPr>
          <w:rFonts w:ascii="Arial" w:hAnsi="Arial" w:cs="Arial"/>
          <w:sz w:val="20"/>
          <w:szCs w:val="20"/>
        </w:rPr>
        <w:t xml:space="preserve">and </w:t>
      </w:r>
      <w:r w:rsidR="006741A5">
        <w:rPr>
          <w:rFonts w:ascii="Arial" w:hAnsi="Arial" w:cs="Arial"/>
          <w:sz w:val="20"/>
          <w:szCs w:val="20"/>
        </w:rPr>
        <w:t xml:space="preserve">adult </w:t>
      </w:r>
      <w:r w:rsidRPr="00CD2FE7">
        <w:rPr>
          <w:rFonts w:ascii="Arial" w:hAnsi="Arial" w:cs="Arial"/>
          <w:sz w:val="20"/>
          <w:szCs w:val="20"/>
        </w:rPr>
        <w:t xml:space="preserve">spermatogonial cells. Genomic regions </w:t>
      </w:r>
      <w:r w:rsidR="006741A5">
        <w:rPr>
          <w:rFonts w:ascii="Arial" w:hAnsi="Arial" w:cs="Arial"/>
          <w:sz w:val="20"/>
          <w:szCs w:val="20"/>
        </w:rPr>
        <w:t>a</w:t>
      </w:r>
      <w:r w:rsidR="006741A5" w:rsidRPr="00CD2FE7">
        <w:rPr>
          <w:rFonts w:ascii="Arial" w:hAnsi="Arial" w:cs="Arial"/>
          <w:sz w:val="20"/>
          <w:szCs w:val="20"/>
        </w:rPr>
        <w:t xml:space="preserve">re </w:t>
      </w:r>
      <w:r w:rsidRPr="00CD2FE7">
        <w:rPr>
          <w:rFonts w:ascii="Arial" w:hAnsi="Arial" w:cs="Arial"/>
          <w:sz w:val="20"/>
          <w:szCs w:val="20"/>
        </w:rPr>
        <w:t xml:space="preserve">categorized in </w:t>
      </w:r>
      <w:r w:rsidR="000A1D1B" w:rsidRPr="00CD2FE7">
        <w:rPr>
          <w:rFonts w:ascii="Arial" w:hAnsi="Arial" w:cs="Arial"/>
          <w:sz w:val="20"/>
          <w:szCs w:val="20"/>
        </w:rPr>
        <w:t xml:space="preserve">exonic, </w:t>
      </w:r>
      <w:r w:rsidRPr="00CD2FE7">
        <w:rPr>
          <w:rFonts w:ascii="Arial" w:hAnsi="Arial" w:cs="Arial"/>
          <w:sz w:val="20"/>
          <w:szCs w:val="20"/>
        </w:rPr>
        <w:t>intronic, intergenic and +/- 1</w:t>
      </w:r>
      <w:commentRangeStart w:id="3"/>
      <w:commentRangeStart w:id="4"/>
      <w:r w:rsidRPr="00CD2FE7">
        <w:rPr>
          <w:rFonts w:ascii="Arial" w:hAnsi="Arial" w:cs="Arial"/>
          <w:sz w:val="20"/>
          <w:szCs w:val="20"/>
        </w:rPr>
        <w:t>kb</w:t>
      </w:r>
      <w:commentRangeEnd w:id="3"/>
      <w:r w:rsidR="008B0D64">
        <w:rPr>
          <w:rStyle w:val="CommentReference"/>
        </w:rPr>
        <w:commentReference w:id="3"/>
      </w:r>
      <w:commentRangeEnd w:id="4"/>
      <w:r w:rsidR="00FD59BD">
        <w:rPr>
          <w:rStyle w:val="CommentReference"/>
        </w:rPr>
        <w:commentReference w:id="4"/>
      </w:r>
      <w:r w:rsidRPr="00CD2FE7">
        <w:rPr>
          <w:rFonts w:ascii="Arial" w:hAnsi="Arial" w:cs="Arial"/>
          <w:sz w:val="20"/>
          <w:szCs w:val="20"/>
        </w:rPr>
        <w:t xml:space="preserve"> from the TSS of a gene;</w:t>
      </w:r>
    </w:p>
    <w:p w14:paraId="00CA21A0" w14:textId="475EE827" w:rsidR="00077CCE" w:rsidRPr="003D1B0A" w:rsidRDefault="00CD2FE7" w:rsidP="00FD0849">
      <w:pPr>
        <w:numPr>
          <w:ilvl w:val="0"/>
          <w:numId w:val="5"/>
        </w:numPr>
        <w:spacing w:after="120" w:line="276" w:lineRule="auto"/>
        <w:jc w:val="both"/>
        <w:rPr>
          <w:rFonts w:ascii="Arial" w:hAnsi="Arial" w:cs="Arial"/>
          <w:b/>
          <w:color w:val="000000" w:themeColor="text1"/>
        </w:rPr>
      </w:pPr>
      <w:r w:rsidRPr="00CD2FE7">
        <w:rPr>
          <w:rFonts w:ascii="Arial" w:hAnsi="Arial" w:cs="Arial"/>
          <w:sz w:val="20"/>
          <w:szCs w:val="20"/>
        </w:rPr>
        <w:t xml:space="preserve">Dot plots of top enriched GO biological </w:t>
      </w:r>
      <w:commentRangeStart w:id="5"/>
      <w:r w:rsidRPr="00CD2FE7">
        <w:rPr>
          <w:rFonts w:ascii="Arial" w:hAnsi="Arial" w:cs="Arial"/>
          <w:sz w:val="20"/>
          <w:szCs w:val="20"/>
        </w:rPr>
        <w:t>processes</w:t>
      </w:r>
      <w:commentRangeEnd w:id="5"/>
      <w:r w:rsidR="0022766E">
        <w:rPr>
          <w:rStyle w:val="CommentReference"/>
        </w:rPr>
        <w:commentReference w:id="5"/>
      </w:r>
      <w:r w:rsidR="00254432">
        <w:rPr>
          <w:rFonts w:ascii="Arial" w:hAnsi="Arial" w:cs="Arial"/>
          <w:sz w:val="20"/>
          <w:szCs w:val="20"/>
        </w:rPr>
        <w:t xml:space="preserve"> </w:t>
      </w:r>
      <w:ins w:id="6" w:author="Irina Lazar" w:date="2020-11-05T15:25:00Z">
        <w:r w:rsidR="00FD0849">
          <w:rPr>
            <w:rFonts w:ascii="Arial" w:hAnsi="Arial" w:cs="Arial"/>
            <w:sz w:val="20"/>
            <w:szCs w:val="20"/>
          </w:rPr>
          <w:t xml:space="preserve">for </w:t>
        </w:r>
      </w:ins>
      <w:r w:rsidRPr="00CD2FE7">
        <w:rPr>
          <w:rFonts w:ascii="Arial" w:hAnsi="Arial" w:cs="Arial"/>
          <w:sz w:val="20"/>
          <w:szCs w:val="20"/>
        </w:rPr>
        <w:t>regions with increased and decreased chromatin accessibility in adult spermatogonia</w:t>
      </w:r>
      <w:r w:rsidR="00224C48">
        <w:rPr>
          <w:rFonts w:ascii="Arial" w:hAnsi="Arial" w:cs="Arial"/>
          <w:sz w:val="20"/>
          <w:szCs w:val="20"/>
        </w:rPr>
        <w:t>. T</w:t>
      </w:r>
      <w:r w:rsidR="00224C48" w:rsidRPr="00CD2FE7">
        <w:rPr>
          <w:rFonts w:ascii="Arial" w:hAnsi="Arial" w:cs="Arial"/>
          <w:sz w:val="20"/>
          <w:szCs w:val="20"/>
        </w:rPr>
        <w:t>he size of dot</w:t>
      </w:r>
      <w:r w:rsidR="00224C48">
        <w:rPr>
          <w:rFonts w:ascii="Arial" w:hAnsi="Arial" w:cs="Arial"/>
          <w:sz w:val="20"/>
          <w:szCs w:val="20"/>
        </w:rPr>
        <w:t>s</w:t>
      </w:r>
      <w:r w:rsidR="00224C48" w:rsidRPr="00CD2FE7">
        <w:rPr>
          <w:rFonts w:ascii="Arial" w:hAnsi="Arial" w:cs="Arial"/>
          <w:sz w:val="20"/>
          <w:szCs w:val="20"/>
        </w:rPr>
        <w:t xml:space="preserve"> indicates the number of genes in the term and the color of each dot corresponds to the adjusted </w:t>
      </w:r>
      <w:r w:rsidR="00224C48" w:rsidRPr="00CD2FE7">
        <w:rPr>
          <w:rFonts w:ascii="Arial" w:hAnsi="Arial" w:cs="Arial"/>
          <w:i/>
          <w:sz w:val="20"/>
          <w:szCs w:val="20"/>
        </w:rPr>
        <w:t xml:space="preserve">P </w:t>
      </w:r>
      <w:r w:rsidR="00224C48" w:rsidRPr="00CD2FE7">
        <w:rPr>
          <w:rFonts w:ascii="Arial" w:hAnsi="Arial" w:cs="Arial"/>
          <w:iCs/>
          <w:sz w:val="20"/>
          <w:szCs w:val="20"/>
        </w:rPr>
        <w:t>value of the term’s enrichment</w:t>
      </w:r>
      <w:r w:rsidR="00224C48">
        <w:rPr>
          <w:rFonts w:ascii="Arial" w:hAnsi="Arial" w:cs="Arial"/>
          <w:sz w:val="20"/>
          <w:szCs w:val="20"/>
        </w:rPr>
        <w:t>.</w:t>
      </w:r>
    </w:p>
    <w:p w14:paraId="61044183" w14:textId="2E994D44" w:rsidR="0077052F" w:rsidRPr="00077CCE" w:rsidRDefault="0077052F" w:rsidP="00FD0849">
      <w:pPr>
        <w:spacing w:before="240" w:after="120" w:line="276" w:lineRule="auto"/>
        <w:jc w:val="both"/>
        <w:rPr>
          <w:rFonts w:ascii="Arial" w:hAnsi="Arial" w:cs="Arial"/>
          <w:sz w:val="20"/>
          <w:szCs w:val="20"/>
        </w:rPr>
      </w:pPr>
      <w:commentRangeStart w:id="7"/>
      <w:r w:rsidRPr="00077CCE">
        <w:rPr>
          <w:rFonts w:ascii="Arial" w:hAnsi="Arial" w:cs="Arial"/>
          <w:b/>
          <w:color w:val="000000" w:themeColor="text1"/>
          <w:sz w:val="20"/>
          <w:szCs w:val="20"/>
        </w:rPr>
        <w:t>Figure</w:t>
      </w:r>
      <w:commentRangeEnd w:id="7"/>
      <w:r w:rsidR="0080134A">
        <w:rPr>
          <w:rStyle w:val="CommentReference"/>
        </w:rPr>
        <w:commentReference w:id="7"/>
      </w:r>
      <w:r w:rsidRPr="00077CCE">
        <w:rPr>
          <w:rFonts w:ascii="Arial" w:hAnsi="Arial" w:cs="Arial"/>
          <w:b/>
          <w:color w:val="000000" w:themeColor="text1"/>
          <w:sz w:val="20"/>
          <w:szCs w:val="20"/>
        </w:rPr>
        <w:t xml:space="preserve"> 2. Transcriptom</w:t>
      </w:r>
      <w:r w:rsidR="003921CD">
        <w:rPr>
          <w:rFonts w:ascii="Arial" w:hAnsi="Arial" w:cs="Arial"/>
          <w:b/>
          <w:color w:val="000000" w:themeColor="text1"/>
          <w:sz w:val="20"/>
          <w:szCs w:val="20"/>
        </w:rPr>
        <w:t>ic profile in</w:t>
      </w:r>
      <w:r w:rsidRPr="00077CCE">
        <w:rPr>
          <w:rFonts w:ascii="Arial" w:hAnsi="Arial" w:cs="Arial"/>
          <w:b/>
          <w:color w:val="000000" w:themeColor="text1"/>
          <w:sz w:val="20"/>
          <w:szCs w:val="20"/>
        </w:rPr>
        <w:t xml:space="preserve"> </w:t>
      </w:r>
      <w:commentRangeStart w:id="8"/>
      <w:commentRangeEnd w:id="8"/>
      <w:r w:rsidR="00A77F55">
        <w:rPr>
          <w:rStyle w:val="CommentReference"/>
        </w:rPr>
        <w:commentReference w:id="8"/>
      </w:r>
      <w:r w:rsidR="003D1B0A">
        <w:rPr>
          <w:rFonts w:ascii="Arial" w:hAnsi="Arial" w:cs="Arial"/>
          <w:b/>
          <w:color w:val="000000" w:themeColor="text1"/>
          <w:sz w:val="20"/>
          <w:szCs w:val="20"/>
        </w:rPr>
        <w:t xml:space="preserve">early </w:t>
      </w:r>
      <w:r w:rsidRPr="00077CCE">
        <w:rPr>
          <w:rFonts w:ascii="Arial" w:hAnsi="Arial" w:cs="Arial"/>
          <w:b/>
          <w:color w:val="000000" w:themeColor="text1"/>
          <w:sz w:val="20"/>
          <w:szCs w:val="20"/>
        </w:rPr>
        <w:t xml:space="preserve">postnatal and </w:t>
      </w:r>
      <w:r w:rsidRPr="00077CCE">
        <w:rPr>
          <w:rFonts w:ascii="Arial" w:hAnsi="Arial" w:cs="Arial"/>
          <w:b/>
          <w:sz w:val="20"/>
          <w:szCs w:val="20"/>
        </w:rPr>
        <w:t xml:space="preserve">adult spermatogonial cells </w:t>
      </w:r>
    </w:p>
    <w:p w14:paraId="7B521B46" w14:textId="63FA1A9A" w:rsidR="0077052F" w:rsidRPr="00077CCE" w:rsidRDefault="0077052F" w:rsidP="00077CCE">
      <w:pPr>
        <w:numPr>
          <w:ilvl w:val="0"/>
          <w:numId w:val="6"/>
        </w:numPr>
        <w:spacing w:after="120" w:line="276" w:lineRule="auto"/>
        <w:ind w:left="714" w:hanging="357"/>
        <w:jc w:val="both"/>
        <w:rPr>
          <w:rFonts w:ascii="Arial" w:hAnsi="Arial" w:cs="Arial"/>
          <w:sz w:val="20"/>
          <w:szCs w:val="20"/>
        </w:rPr>
      </w:pPr>
      <w:r w:rsidRPr="00077CCE">
        <w:rPr>
          <w:rFonts w:ascii="Arial" w:hAnsi="Arial" w:cs="Arial"/>
          <w:sz w:val="20"/>
          <w:szCs w:val="20"/>
        </w:rPr>
        <w:t xml:space="preserve">Heatmap of differentially expressed genes (adjusted </w:t>
      </w:r>
      <w:r w:rsidRPr="00077CCE">
        <w:rPr>
          <w:rFonts w:ascii="Arial" w:hAnsi="Arial" w:cs="Arial"/>
          <w:i/>
          <w:sz w:val="20"/>
          <w:szCs w:val="20"/>
        </w:rPr>
        <w:t xml:space="preserve">P </w:t>
      </w:r>
      <w:r w:rsidRPr="00077CCE">
        <w:rPr>
          <w:rFonts w:ascii="Arial" w:hAnsi="Arial" w:cs="Arial"/>
          <w:sz w:val="20"/>
          <w:szCs w:val="20"/>
        </w:rPr>
        <w:t>≤ 0.05 and abs Log</w:t>
      </w:r>
      <w:r w:rsidRPr="00077CCE">
        <w:rPr>
          <w:rFonts w:ascii="Arial" w:hAnsi="Arial" w:cs="Arial"/>
          <w:sz w:val="20"/>
          <w:szCs w:val="20"/>
          <w:vertAlign w:val="subscript"/>
        </w:rPr>
        <w:t>2</w:t>
      </w:r>
      <w:r w:rsidRPr="00077CCE">
        <w:rPr>
          <w:rFonts w:ascii="Arial" w:hAnsi="Arial" w:cs="Arial"/>
          <w:sz w:val="20"/>
          <w:szCs w:val="20"/>
        </w:rPr>
        <w:t xml:space="preserve"> FC ≥ 1) between </w:t>
      </w:r>
      <w:r w:rsidR="0080134A" w:rsidRPr="00077CCE">
        <w:rPr>
          <w:rFonts w:ascii="Arial" w:hAnsi="Arial" w:cs="Arial"/>
          <w:sz w:val="20"/>
          <w:szCs w:val="20"/>
        </w:rPr>
        <w:t>P</w:t>
      </w:r>
      <w:commentRangeStart w:id="9"/>
      <w:r w:rsidR="0080134A" w:rsidRPr="00077CCE">
        <w:rPr>
          <w:rFonts w:ascii="Arial" w:hAnsi="Arial" w:cs="Arial"/>
          <w:sz w:val="20"/>
          <w:szCs w:val="20"/>
        </w:rPr>
        <w:t xml:space="preserve">ND8 (n = 9) and </w:t>
      </w:r>
      <w:r w:rsidRPr="00077CCE">
        <w:rPr>
          <w:rFonts w:ascii="Arial" w:hAnsi="Arial" w:cs="Arial"/>
          <w:sz w:val="20"/>
          <w:szCs w:val="20"/>
        </w:rPr>
        <w:t xml:space="preserve">PND15 (n = 8) </w:t>
      </w:r>
      <w:commentRangeEnd w:id="9"/>
      <w:r w:rsidR="000D11DE">
        <w:rPr>
          <w:rStyle w:val="CommentReference"/>
        </w:rPr>
        <w:commentReference w:id="9"/>
      </w:r>
      <w:r w:rsidRPr="00077CCE">
        <w:rPr>
          <w:rFonts w:ascii="Arial" w:hAnsi="Arial" w:cs="Arial"/>
          <w:sz w:val="20"/>
          <w:szCs w:val="20"/>
        </w:rPr>
        <w:t xml:space="preserve">spermatogonial cells. </w:t>
      </w:r>
      <w:commentRangeStart w:id="10"/>
      <w:r w:rsidRPr="00077CCE">
        <w:rPr>
          <w:rFonts w:ascii="Arial" w:hAnsi="Arial" w:cs="Arial"/>
          <w:sz w:val="20"/>
          <w:szCs w:val="20"/>
        </w:rPr>
        <w:t>Shown are the Log</w:t>
      </w:r>
      <w:r w:rsidRPr="00077CCE">
        <w:rPr>
          <w:rFonts w:ascii="Arial" w:hAnsi="Arial" w:cs="Arial"/>
          <w:sz w:val="20"/>
          <w:szCs w:val="20"/>
          <w:vertAlign w:val="subscript"/>
        </w:rPr>
        <w:t xml:space="preserve">2 </w:t>
      </w:r>
      <w:r w:rsidR="008F4DD5">
        <w:rPr>
          <w:rFonts w:ascii="Arial" w:hAnsi="Arial" w:cs="Arial"/>
          <w:sz w:val="20"/>
          <w:szCs w:val="20"/>
        </w:rPr>
        <w:t>FC</w:t>
      </w:r>
      <w:r w:rsidRPr="00077CCE">
        <w:rPr>
          <w:rFonts w:ascii="Arial" w:hAnsi="Arial" w:cs="Arial"/>
          <w:sz w:val="20"/>
          <w:szCs w:val="20"/>
        </w:rPr>
        <w:t xml:space="preserve"> with respect to the average of the PND8</w:t>
      </w:r>
      <w:r w:rsidR="00224C48">
        <w:rPr>
          <w:rFonts w:ascii="Arial" w:hAnsi="Arial" w:cs="Arial"/>
          <w:sz w:val="20"/>
          <w:szCs w:val="20"/>
        </w:rPr>
        <w:t>. Samples are clustered using Ward’s method</w:t>
      </w:r>
      <w:r w:rsidRPr="00077CCE">
        <w:rPr>
          <w:rFonts w:ascii="Arial" w:hAnsi="Arial" w:cs="Arial"/>
          <w:sz w:val="20"/>
          <w:szCs w:val="20"/>
        </w:rPr>
        <w:t>;</w:t>
      </w:r>
      <w:commentRangeEnd w:id="10"/>
      <w:r w:rsidR="000D11DE">
        <w:rPr>
          <w:rStyle w:val="CommentReference"/>
        </w:rPr>
        <w:commentReference w:id="10"/>
      </w:r>
    </w:p>
    <w:p w14:paraId="42C60CEC" w14:textId="74243DFA" w:rsidR="00026BC7" w:rsidRDefault="0077052F" w:rsidP="00077CCE">
      <w:pPr>
        <w:numPr>
          <w:ilvl w:val="0"/>
          <w:numId w:val="6"/>
        </w:numPr>
        <w:spacing w:after="120" w:line="276" w:lineRule="auto"/>
        <w:ind w:left="714" w:hanging="357"/>
        <w:jc w:val="both"/>
        <w:rPr>
          <w:rFonts w:ascii="Arial" w:hAnsi="Arial" w:cs="Arial"/>
          <w:sz w:val="20"/>
          <w:szCs w:val="20"/>
        </w:rPr>
      </w:pPr>
      <w:r w:rsidRPr="00077CCE">
        <w:rPr>
          <w:rFonts w:ascii="Arial" w:hAnsi="Arial" w:cs="Arial"/>
          <w:sz w:val="20"/>
          <w:szCs w:val="20"/>
        </w:rPr>
        <w:t>Heatmap of expressed genes (Log</w:t>
      </w:r>
      <w:r w:rsidRPr="00077CCE">
        <w:rPr>
          <w:rFonts w:ascii="Arial" w:hAnsi="Arial" w:cs="Arial"/>
          <w:sz w:val="20"/>
          <w:szCs w:val="20"/>
          <w:vertAlign w:val="subscript"/>
        </w:rPr>
        <w:t>2</w:t>
      </w:r>
      <w:r w:rsidRPr="00077CCE">
        <w:rPr>
          <w:rFonts w:ascii="Arial" w:hAnsi="Arial" w:cs="Arial"/>
          <w:sz w:val="20"/>
          <w:szCs w:val="20"/>
        </w:rPr>
        <w:t xml:space="preserve"> CPM ≥ 1 and abs Log</w:t>
      </w:r>
      <w:r w:rsidRPr="00077CCE">
        <w:rPr>
          <w:rFonts w:ascii="Arial" w:hAnsi="Arial" w:cs="Arial"/>
          <w:sz w:val="20"/>
          <w:szCs w:val="20"/>
          <w:vertAlign w:val="subscript"/>
        </w:rPr>
        <w:t>2</w:t>
      </w:r>
      <w:r w:rsidRPr="00077CCE">
        <w:rPr>
          <w:rFonts w:ascii="Arial" w:hAnsi="Arial" w:cs="Arial"/>
          <w:sz w:val="20"/>
          <w:szCs w:val="20"/>
        </w:rPr>
        <w:t xml:space="preserve"> FC ≥ 1) </w:t>
      </w:r>
      <w:commentRangeStart w:id="11"/>
      <w:r w:rsidRPr="00077CCE">
        <w:rPr>
          <w:rFonts w:ascii="Arial" w:hAnsi="Arial" w:cs="Arial"/>
          <w:sz w:val="20"/>
          <w:szCs w:val="20"/>
        </w:rPr>
        <w:t xml:space="preserve">between adult (PNW8) spermatogonia (n = 1) and PND14 </w:t>
      </w:r>
      <w:commentRangeEnd w:id="11"/>
      <w:r w:rsidR="007868F5">
        <w:rPr>
          <w:rStyle w:val="CommentReference"/>
        </w:rPr>
        <w:commentReference w:id="11"/>
      </w:r>
      <w:r w:rsidRPr="00077CCE">
        <w:rPr>
          <w:rFonts w:ascii="Arial" w:hAnsi="Arial" w:cs="Arial"/>
          <w:sz w:val="20"/>
          <w:szCs w:val="20"/>
        </w:rPr>
        <w:t xml:space="preserve">(n = 1) from literature RNA-seq datasets; </w:t>
      </w:r>
    </w:p>
    <w:p w14:paraId="17ED40B9" w14:textId="0CDB7657" w:rsidR="0077052F" w:rsidRPr="00077CCE" w:rsidRDefault="00224C48" w:rsidP="003D1B0A">
      <w:pPr>
        <w:spacing w:after="120" w:line="276" w:lineRule="auto"/>
        <w:ind w:left="357"/>
        <w:jc w:val="both"/>
        <w:rPr>
          <w:rFonts w:ascii="Arial" w:hAnsi="Arial" w:cs="Arial"/>
          <w:sz w:val="20"/>
          <w:szCs w:val="20"/>
        </w:rPr>
      </w:pPr>
      <w:r>
        <w:rPr>
          <w:rFonts w:ascii="Arial" w:hAnsi="Arial" w:cs="Arial"/>
          <w:sz w:val="20"/>
          <w:szCs w:val="20"/>
        </w:rPr>
        <w:t xml:space="preserve">(A, B) Genes are ordered by </w:t>
      </w:r>
      <w:r w:rsidR="00905803">
        <w:rPr>
          <w:rFonts w:ascii="Arial" w:hAnsi="Arial" w:cs="Arial"/>
          <w:sz w:val="20"/>
          <w:szCs w:val="20"/>
        </w:rPr>
        <w:t>Principal Component Analysis (</w:t>
      </w:r>
      <w:r>
        <w:rPr>
          <w:rFonts w:ascii="Arial" w:hAnsi="Arial" w:cs="Arial"/>
          <w:sz w:val="20"/>
          <w:szCs w:val="20"/>
        </w:rPr>
        <w:t>PCA</w:t>
      </w:r>
      <w:r w:rsidR="00905803">
        <w:rPr>
          <w:rFonts w:ascii="Arial" w:hAnsi="Arial" w:cs="Arial"/>
          <w:sz w:val="20"/>
          <w:szCs w:val="20"/>
        </w:rPr>
        <w:t>)</w:t>
      </w:r>
      <w:r>
        <w:rPr>
          <w:rFonts w:ascii="Arial" w:hAnsi="Arial" w:cs="Arial"/>
          <w:sz w:val="20"/>
          <w:szCs w:val="20"/>
        </w:rPr>
        <w:t xml:space="preserve"> method using seriation (R package);</w:t>
      </w:r>
    </w:p>
    <w:p w14:paraId="5DCAF678" w14:textId="6D9862CA" w:rsidR="00CD2FE7" w:rsidRPr="00D446C9" w:rsidRDefault="0077052F" w:rsidP="00FD0849">
      <w:pPr>
        <w:spacing w:after="120" w:line="276" w:lineRule="auto"/>
        <w:ind w:left="357"/>
        <w:jc w:val="both"/>
        <w:rPr>
          <w:rFonts w:ascii="Arial" w:hAnsi="Arial" w:cs="Arial"/>
          <w:sz w:val="20"/>
          <w:szCs w:val="20"/>
        </w:rPr>
      </w:pPr>
      <w:r w:rsidRPr="00077CCE">
        <w:rPr>
          <w:rFonts w:ascii="Arial" w:hAnsi="Arial" w:cs="Arial"/>
          <w:color w:val="000000" w:themeColor="text1"/>
          <w:sz w:val="20"/>
          <w:szCs w:val="20"/>
        </w:rPr>
        <w:t xml:space="preserve">(C, D) </w:t>
      </w:r>
      <w:r w:rsidR="008F4DD5" w:rsidRPr="00077CCE">
        <w:rPr>
          <w:rFonts w:ascii="Arial" w:hAnsi="Arial" w:cs="Arial"/>
          <w:sz w:val="20"/>
          <w:szCs w:val="20"/>
        </w:rPr>
        <w:t xml:space="preserve">Dot plots of top 20 enriched GO </w:t>
      </w:r>
      <w:r w:rsidR="00026BC7">
        <w:rPr>
          <w:rFonts w:ascii="Arial" w:hAnsi="Arial" w:cs="Arial"/>
          <w:sz w:val="20"/>
          <w:szCs w:val="20"/>
        </w:rPr>
        <w:t>biological processes</w:t>
      </w:r>
      <w:commentRangeStart w:id="12"/>
      <w:r w:rsidR="008F4DD5" w:rsidRPr="00077CCE">
        <w:rPr>
          <w:rFonts w:ascii="Arial" w:hAnsi="Arial" w:cs="Arial"/>
          <w:sz w:val="20"/>
          <w:szCs w:val="20"/>
        </w:rPr>
        <w:t xml:space="preserve"> </w:t>
      </w:r>
      <w:commentRangeEnd w:id="12"/>
      <w:r w:rsidR="008F4DD5">
        <w:rPr>
          <w:rStyle w:val="CommentReference"/>
        </w:rPr>
        <w:commentReference w:id="12"/>
      </w:r>
      <w:r w:rsidR="008F4DD5" w:rsidRPr="00077CCE">
        <w:rPr>
          <w:rFonts w:ascii="Arial" w:hAnsi="Arial" w:cs="Arial"/>
          <w:sz w:val="20"/>
          <w:szCs w:val="20"/>
        </w:rPr>
        <w:t xml:space="preserve"> (adjusted </w:t>
      </w:r>
      <w:r w:rsidR="008F4DD5" w:rsidRPr="00077CCE">
        <w:rPr>
          <w:rFonts w:ascii="Arial" w:hAnsi="Arial" w:cs="Arial"/>
          <w:i/>
          <w:iCs/>
          <w:sz w:val="20"/>
          <w:szCs w:val="20"/>
        </w:rPr>
        <w:t xml:space="preserve">P </w:t>
      </w:r>
      <w:r w:rsidR="008F4DD5" w:rsidRPr="00077CCE">
        <w:rPr>
          <w:rFonts w:ascii="Arial" w:hAnsi="Arial" w:cs="Arial"/>
          <w:sz w:val="20"/>
          <w:szCs w:val="20"/>
        </w:rPr>
        <w:t xml:space="preserve">≤ 0.05) from GSEA analysis of PND15 vs PND8 </w:t>
      </w:r>
      <w:r w:rsidR="008F4DD5">
        <w:rPr>
          <w:rFonts w:ascii="Arial" w:hAnsi="Arial" w:cs="Arial"/>
          <w:color w:val="000000" w:themeColor="text1"/>
          <w:sz w:val="20"/>
          <w:szCs w:val="20"/>
        </w:rPr>
        <w:t>and PND14 vs PNW8</w:t>
      </w:r>
      <w:r w:rsidR="00026BC7">
        <w:rPr>
          <w:rFonts w:ascii="Arial" w:hAnsi="Arial" w:cs="Arial"/>
          <w:color w:val="000000" w:themeColor="text1"/>
          <w:sz w:val="20"/>
          <w:szCs w:val="20"/>
        </w:rPr>
        <w:t xml:space="preserve"> comparisons, respectively.</w:t>
      </w:r>
      <w:r w:rsidR="008F4DD5">
        <w:rPr>
          <w:rFonts w:ascii="Arial" w:hAnsi="Arial" w:cs="Arial"/>
          <w:color w:val="000000" w:themeColor="text1"/>
          <w:sz w:val="20"/>
          <w:szCs w:val="20"/>
        </w:rPr>
        <w:t xml:space="preserve"> </w:t>
      </w:r>
      <w:r w:rsidRPr="00077CCE">
        <w:rPr>
          <w:rFonts w:ascii="Arial" w:hAnsi="Arial" w:cs="Arial"/>
          <w:color w:val="000000" w:themeColor="text1"/>
          <w:sz w:val="20"/>
          <w:szCs w:val="20"/>
        </w:rPr>
        <w:t xml:space="preserve">GO terms are summarized by REVIGO and ordered by their normalized enrichment scores (NES). The size of the dot indicates the number of expressed genes annotated in the GO term, and the color corresponds to the adjusted </w:t>
      </w:r>
      <w:r w:rsidRPr="00077CCE">
        <w:rPr>
          <w:rFonts w:ascii="Arial" w:hAnsi="Arial" w:cs="Arial"/>
          <w:i/>
          <w:color w:val="000000" w:themeColor="text1"/>
          <w:sz w:val="20"/>
          <w:szCs w:val="20"/>
        </w:rPr>
        <w:t xml:space="preserve">P </w:t>
      </w:r>
      <w:r w:rsidRPr="00077CCE">
        <w:rPr>
          <w:rFonts w:ascii="Arial" w:hAnsi="Arial" w:cs="Arial"/>
          <w:iCs/>
          <w:color w:val="000000" w:themeColor="text1"/>
          <w:sz w:val="20"/>
          <w:szCs w:val="20"/>
        </w:rPr>
        <w:t>value</w:t>
      </w:r>
      <w:r w:rsidRPr="00077CCE">
        <w:rPr>
          <w:rFonts w:ascii="Arial" w:hAnsi="Arial" w:cs="Arial"/>
          <w:color w:val="000000" w:themeColor="text1"/>
          <w:sz w:val="20"/>
          <w:szCs w:val="20"/>
        </w:rPr>
        <w:t>.</w:t>
      </w:r>
      <w:r w:rsidR="003D1B0A" w:rsidRPr="00077CCE" w:rsidDel="003D1B0A">
        <w:rPr>
          <w:rFonts w:ascii="Arial" w:hAnsi="Arial" w:cs="Arial"/>
          <w:color w:val="000000" w:themeColor="text1"/>
          <w:sz w:val="20"/>
          <w:szCs w:val="20"/>
        </w:rPr>
        <w:t xml:space="preserve"> </w:t>
      </w:r>
    </w:p>
    <w:p w14:paraId="2ACFEA7F" w14:textId="77777777" w:rsidR="00D446C9" w:rsidRPr="00D446C9" w:rsidRDefault="00D446C9" w:rsidP="003D1B0A">
      <w:pPr>
        <w:spacing w:before="240" w:after="120" w:line="276" w:lineRule="auto"/>
        <w:jc w:val="both"/>
        <w:rPr>
          <w:rFonts w:ascii="Arial" w:hAnsi="Arial" w:cs="Arial"/>
          <w:sz w:val="20"/>
          <w:szCs w:val="20"/>
        </w:rPr>
      </w:pPr>
      <w:r w:rsidRPr="00D446C9">
        <w:rPr>
          <w:rFonts w:ascii="Arial" w:hAnsi="Arial" w:cs="Arial"/>
          <w:b/>
          <w:sz w:val="20"/>
          <w:szCs w:val="20"/>
        </w:rPr>
        <w:t>Figure 3. Chromatin accessibility and histone modifications at proximal regions of genes dynamically expressed between adult and PND15 spermatogonial cells</w:t>
      </w:r>
    </w:p>
    <w:p w14:paraId="0563C93B" w14:textId="77777777" w:rsidR="00D446C9" w:rsidRPr="00D446C9" w:rsidRDefault="00D446C9" w:rsidP="00D446C9">
      <w:pPr>
        <w:pStyle w:val="ListParagraph"/>
        <w:numPr>
          <w:ilvl w:val="0"/>
          <w:numId w:val="7"/>
        </w:numPr>
        <w:spacing w:after="120" w:line="276" w:lineRule="auto"/>
        <w:jc w:val="both"/>
        <w:rPr>
          <w:rFonts w:ascii="Arial" w:hAnsi="Arial" w:cs="Arial"/>
          <w:sz w:val="20"/>
          <w:szCs w:val="20"/>
        </w:rPr>
      </w:pPr>
      <w:r w:rsidRPr="00D446C9">
        <w:rPr>
          <w:rFonts w:ascii="Arial" w:hAnsi="Arial" w:cs="Arial"/>
          <w:sz w:val="20"/>
          <w:szCs w:val="20"/>
        </w:rPr>
        <w:t>Heatmap of average coverage across condition showing proximal regions of increased chromatin accessibility and increased gene expression (Category 1, n = 171), increased chromatin accessibility and decreased gene expression (Category 2, n = 233), decreased chromatin accessibility and decreased gene expression (Category 3, n = 32) and decreased chromatin accessibility and increased gene expression (Category 4, n = 14) when comparing adult with PND15 spermatogonia. Proximal inactive regions were defined as regions of increased accessibility (Category 5, n = 291) or decreased accessibility (Category 6, n = 88) for which the nearest gene expression was not detected from RNA-seq.</w:t>
      </w:r>
    </w:p>
    <w:p w14:paraId="602B8DA9" w14:textId="77777777" w:rsidR="00D446C9" w:rsidRPr="00D446C9" w:rsidRDefault="00D446C9" w:rsidP="00D446C9">
      <w:pPr>
        <w:numPr>
          <w:ilvl w:val="0"/>
          <w:numId w:val="7"/>
        </w:numPr>
        <w:spacing w:after="120" w:line="276" w:lineRule="auto"/>
        <w:jc w:val="both"/>
        <w:rPr>
          <w:rFonts w:ascii="Arial" w:hAnsi="Arial" w:cs="Arial"/>
          <w:sz w:val="20"/>
          <w:szCs w:val="20"/>
        </w:rPr>
      </w:pPr>
      <w:r w:rsidRPr="00D446C9">
        <w:rPr>
          <w:rFonts w:ascii="Arial" w:hAnsi="Arial" w:cs="Arial"/>
          <w:sz w:val="20"/>
          <w:szCs w:val="20"/>
        </w:rPr>
        <w:t>Heatmaps showing the overlap between Category 1-4 regions and literature ChIP-seq data in PNW8 spermatogonia for H3K4me3, H3K27ac and H3K27me3. For each of the Category 1-4 the following sub-categorization was applied: regions that are enriched for H3K4me3 (with or w/o H3K27ac and/or H3K27me3), regions that are enriched for H3K27ac (and lack both H3K4me3 and H3K27me3) and regions that are enriched for H3K27me3 (and lack both H3K4me3 and H3K27ac);</w:t>
      </w:r>
    </w:p>
    <w:p w14:paraId="01E67333" w14:textId="1F90E05E" w:rsidR="00D446C9" w:rsidRPr="00D446C9" w:rsidRDefault="00D446C9" w:rsidP="00D446C9">
      <w:pPr>
        <w:spacing w:after="120" w:line="276" w:lineRule="auto"/>
        <w:ind w:left="360"/>
        <w:jc w:val="both"/>
        <w:rPr>
          <w:rFonts w:ascii="Arial" w:hAnsi="Arial" w:cs="Arial"/>
          <w:color w:val="000000" w:themeColor="text1"/>
          <w:sz w:val="20"/>
          <w:szCs w:val="20"/>
        </w:rPr>
      </w:pPr>
      <w:r w:rsidRPr="00D446C9">
        <w:rPr>
          <w:rFonts w:ascii="Arial" w:hAnsi="Arial" w:cs="Arial"/>
          <w:color w:val="000000" w:themeColor="text1"/>
          <w:sz w:val="20"/>
          <w:szCs w:val="20"/>
        </w:rPr>
        <w:t>(A, B) Each line represents a peak region and the regions are ordered within a category by the ATAC-seq signal. Mid-x-axis corresponds to the middle of a peak region and is extended to +/- 1 kbp. The color-key of the ATAC-seq heatmap represents the ATAC-seq signal in Log</w:t>
      </w:r>
      <w:r w:rsidRPr="00D446C9">
        <w:rPr>
          <w:rFonts w:ascii="Arial" w:hAnsi="Arial" w:cs="Arial"/>
          <w:color w:val="000000" w:themeColor="text1"/>
          <w:sz w:val="20"/>
          <w:szCs w:val="20"/>
          <w:vertAlign w:val="subscript"/>
        </w:rPr>
        <w:t xml:space="preserve">2 </w:t>
      </w:r>
      <w:r w:rsidRPr="00D446C9">
        <w:rPr>
          <w:rFonts w:ascii="Arial" w:hAnsi="Arial" w:cs="Arial"/>
          <w:color w:val="000000" w:themeColor="text1"/>
          <w:sz w:val="20"/>
          <w:szCs w:val="20"/>
        </w:rPr>
        <w:t xml:space="preserve">Reads Per </w:t>
      </w:r>
      <w:r w:rsidRPr="00D446C9">
        <w:rPr>
          <w:rFonts w:ascii="Arial" w:hAnsi="Arial" w:cs="Arial"/>
          <w:color w:val="000000" w:themeColor="text1"/>
          <w:sz w:val="20"/>
          <w:szCs w:val="20"/>
        </w:rPr>
        <w:lastRenderedPageBreak/>
        <w:t>Kilobase per Million (RPKM) reads sequenced. For RNA-seq, log</w:t>
      </w:r>
      <w:r w:rsidRPr="00D446C9">
        <w:rPr>
          <w:rFonts w:ascii="Arial" w:hAnsi="Arial" w:cs="Arial"/>
          <w:color w:val="000000" w:themeColor="text1"/>
          <w:sz w:val="20"/>
          <w:szCs w:val="20"/>
          <w:vertAlign w:val="subscript"/>
        </w:rPr>
        <w:t>2</w:t>
      </w:r>
      <w:r w:rsidRPr="00D446C9">
        <w:rPr>
          <w:rFonts w:ascii="Arial" w:hAnsi="Arial" w:cs="Arial"/>
          <w:color w:val="000000" w:themeColor="text1"/>
          <w:sz w:val="20"/>
          <w:szCs w:val="20"/>
        </w:rPr>
        <w:t xml:space="preserve"> FC is shown from PND15 vs PND8 and PNW8 vs PND14 comparisons</w:t>
      </w:r>
      <w:r w:rsidR="00DF2CFA">
        <w:rPr>
          <w:rFonts w:ascii="Arial" w:hAnsi="Arial" w:cs="Arial"/>
          <w:color w:val="000000" w:themeColor="text1"/>
          <w:sz w:val="20"/>
          <w:szCs w:val="20"/>
        </w:rPr>
        <w:t xml:space="preserve">. </w:t>
      </w:r>
      <w:r w:rsidR="008365D0">
        <w:rPr>
          <w:rFonts w:ascii="Arial" w:hAnsi="Arial" w:cs="Arial"/>
          <w:color w:val="000000" w:themeColor="text1"/>
          <w:sz w:val="20"/>
          <w:szCs w:val="20"/>
        </w:rPr>
        <w:t>Rows</w:t>
      </w:r>
      <w:r w:rsidR="00DF2CFA">
        <w:rPr>
          <w:rFonts w:ascii="Arial" w:hAnsi="Arial" w:cs="Arial"/>
          <w:color w:val="000000" w:themeColor="text1"/>
          <w:sz w:val="20"/>
          <w:szCs w:val="20"/>
        </w:rPr>
        <w:t xml:space="preserve"> are ordered by the enriched scores</w:t>
      </w:r>
      <w:r w:rsidR="008365D0">
        <w:rPr>
          <w:rFonts w:ascii="Arial" w:hAnsi="Arial" w:cs="Arial"/>
          <w:color w:val="000000" w:themeColor="text1"/>
          <w:sz w:val="20"/>
          <w:szCs w:val="20"/>
        </w:rPr>
        <w:t xml:space="preserve"> of ATAC-seq data</w:t>
      </w:r>
      <w:r w:rsidRPr="00D446C9">
        <w:rPr>
          <w:rFonts w:ascii="Arial" w:hAnsi="Arial" w:cs="Arial"/>
          <w:color w:val="000000" w:themeColor="text1"/>
          <w:sz w:val="20"/>
          <w:szCs w:val="20"/>
        </w:rPr>
        <w:t>;</w:t>
      </w:r>
    </w:p>
    <w:p w14:paraId="00DE2719" w14:textId="590EC30C" w:rsidR="00D446C9" w:rsidRPr="008A5D81" w:rsidRDefault="008A5D81">
      <w:pPr>
        <w:numPr>
          <w:ilvl w:val="0"/>
          <w:numId w:val="7"/>
        </w:numPr>
        <w:spacing w:after="120" w:line="276" w:lineRule="auto"/>
        <w:jc w:val="both"/>
        <w:rPr>
          <w:rFonts w:ascii="Arial" w:hAnsi="Arial" w:cs="Arial"/>
          <w:sz w:val="20"/>
          <w:szCs w:val="20"/>
          <w:lang w:val="en-CH"/>
          <w:rPrChange w:id="13" w:author="Irina Lazar" w:date="2020-11-09T11:29:00Z">
            <w:rPr/>
          </w:rPrChange>
        </w:rPr>
        <w:pPrChange w:id="14" w:author="Irina Lazar" w:date="2020-11-09T11:29:00Z">
          <w:pPr>
            <w:pStyle w:val="ListParagraph"/>
            <w:numPr>
              <w:numId w:val="7"/>
            </w:numPr>
            <w:spacing w:before="0" w:after="120" w:line="276" w:lineRule="auto"/>
            <w:ind w:hanging="360"/>
            <w:jc w:val="both"/>
          </w:pPr>
        </w:pPrChange>
      </w:pPr>
      <w:ins w:id="15" w:author="Irina Lazar" w:date="2020-11-09T11:29:00Z">
        <w:r w:rsidRPr="008A5D81">
          <w:rPr>
            <w:rFonts w:ascii="Arial" w:hAnsi="Arial" w:cs="Arial"/>
            <w:sz w:val="20"/>
            <w:szCs w:val="20"/>
          </w:rPr>
          <w:t>Genomic snapshots from the Integrative Genomics Viewer (IGV, Broad Institute) of exemplary genes from Category 1 (</w:t>
        </w:r>
        <w:r w:rsidRPr="008A5D81">
          <w:rPr>
            <w:rFonts w:ascii="Arial" w:hAnsi="Arial" w:cs="Arial"/>
            <w:i/>
            <w:iCs/>
            <w:sz w:val="20"/>
            <w:szCs w:val="20"/>
          </w:rPr>
          <w:t>Gfra2</w:t>
        </w:r>
        <w:r w:rsidRPr="008A5D81">
          <w:rPr>
            <w:rFonts w:ascii="Arial" w:hAnsi="Arial" w:cs="Arial"/>
            <w:sz w:val="20"/>
            <w:szCs w:val="20"/>
          </w:rPr>
          <w:t>), Category 2 (</w:t>
        </w:r>
        <w:r w:rsidRPr="008A5D81">
          <w:rPr>
            <w:rFonts w:ascii="Arial" w:hAnsi="Arial" w:cs="Arial"/>
            <w:i/>
            <w:iCs/>
            <w:sz w:val="20"/>
            <w:szCs w:val="20"/>
          </w:rPr>
          <w:t>Hmx1</w:t>
        </w:r>
        <w:r w:rsidRPr="008A5D81">
          <w:rPr>
            <w:rFonts w:ascii="Arial" w:hAnsi="Arial" w:cs="Arial"/>
            <w:sz w:val="20"/>
            <w:szCs w:val="20"/>
          </w:rPr>
          <w:t>) and Category 3 (</w:t>
        </w:r>
        <w:r w:rsidRPr="008A5D81">
          <w:rPr>
            <w:rFonts w:ascii="Arial" w:hAnsi="Arial" w:cs="Arial"/>
            <w:i/>
            <w:iCs/>
            <w:sz w:val="20"/>
            <w:szCs w:val="20"/>
          </w:rPr>
          <w:t>Pdgfra</w:t>
        </w:r>
        <w:r w:rsidRPr="008A5D81">
          <w:rPr>
            <w:rFonts w:ascii="Arial" w:hAnsi="Arial" w:cs="Arial"/>
            <w:sz w:val="20"/>
            <w:szCs w:val="20"/>
          </w:rPr>
          <w:t xml:space="preserve">) showing relative abundance of transcripts from RNA-seq and chromatin accessibility from ATAC-seq. RNA-seq data </w:t>
        </w:r>
      </w:ins>
      <w:ins w:id="16" w:author="Irina Lazar" w:date="2020-11-09T12:27:00Z">
        <w:r w:rsidR="006839A9">
          <w:rPr>
            <w:rFonts w:ascii="Arial" w:hAnsi="Arial" w:cs="Arial"/>
            <w:sz w:val="20"/>
            <w:szCs w:val="20"/>
          </w:rPr>
          <w:t xml:space="preserve">corresponds to </w:t>
        </w:r>
      </w:ins>
      <w:ins w:id="17" w:author="Irina Lazar" w:date="2020-11-09T11:29:00Z">
        <w:r w:rsidRPr="008A5D81">
          <w:rPr>
            <w:rFonts w:ascii="Arial" w:hAnsi="Arial" w:cs="Arial"/>
            <w:sz w:val="20"/>
            <w:szCs w:val="20"/>
          </w:rPr>
          <w:t xml:space="preserve">literature PND14 and adult (PNW8) spermatogonial cells and  ATAC-seq data </w:t>
        </w:r>
      </w:ins>
      <w:ins w:id="18" w:author="Irina Lazar" w:date="2020-11-09T12:27:00Z">
        <w:r w:rsidR="006839A9">
          <w:rPr>
            <w:rFonts w:ascii="Arial" w:hAnsi="Arial" w:cs="Arial"/>
            <w:sz w:val="20"/>
            <w:szCs w:val="20"/>
          </w:rPr>
          <w:t>to</w:t>
        </w:r>
      </w:ins>
      <w:ins w:id="19" w:author="Irina Lazar" w:date="2020-11-09T11:29:00Z">
        <w:r w:rsidRPr="008A5D81">
          <w:rPr>
            <w:rFonts w:ascii="Arial" w:hAnsi="Arial" w:cs="Arial"/>
            <w:sz w:val="20"/>
            <w:szCs w:val="20"/>
          </w:rPr>
          <w:t xml:space="preserve"> PND15 and adult (PNW20) spermatogonial cells, respectively. </w:t>
        </w:r>
      </w:ins>
      <w:del w:id="20" w:author="Irina Lazar" w:date="2020-11-09T11:29:00Z">
        <w:r w:rsidR="00D446C9" w:rsidRPr="008A5D81" w:rsidDel="008A5D81">
          <w:rPr>
            <w:rFonts w:ascii="Arial" w:hAnsi="Arial" w:cs="Arial"/>
            <w:sz w:val="20"/>
            <w:szCs w:val="20"/>
            <w:rPrChange w:id="21" w:author="Irina Lazar" w:date="2020-11-09T11:29:00Z">
              <w:rPr/>
            </w:rPrChange>
          </w:rPr>
          <w:delText>Genomic snapshots from the Integrative Genomics Viewer (IGV, Broad Institute) of exemplary genes from Category 1 (</w:delText>
        </w:r>
        <w:r w:rsidR="00D446C9" w:rsidRPr="008A5D81" w:rsidDel="008A5D81">
          <w:rPr>
            <w:rFonts w:ascii="Arial" w:hAnsi="Arial" w:cs="Arial"/>
            <w:i/>
            <w:iCs/>
            <w:sz w:val="20"/>
            <w:szCs w:val="20"/>
            <w:rPrChange w:id="22" w:author="Irina Lazar" w:date="2020-11-09T11:29:00Z">
              <w:rPr>
                <w:i/>
                <w:iCs/>
              </w:rPr>
            </w:rPrChange>
          </w:rPr>
          <w:delText>Gfra2</w:delText>
        </w:r>
        <w:r w:rsidR="00D446C9" w:rsidRPr="008A5D81" w:rsidDel="008A5D81">
          <w:rPr>
            <w:rFonts w:ascii="Arial" w:hAnsi="Arial" w:cs="Arial"/>
            <w:sz w:val="20"/>
            <w:szCs w:val="20"/>
            <w:rPrChange w:id="23" w:author="Irina Lazar" w:date="2020-11-09T11:29:00Z">
              <w:rPr/>
            </w:rPrChange>
          </w:rPr>
          <w:delText>), Category 2 (</w:delText>
        </w:r>
        <w:r w:rsidR="00D446C9" w:rsidRPr="008A5D81" w:rsidDel="008A5D81">
          <w:rPr>
            <w:rFonts w:ascii="Arial" w:hAnsi="Arial" w:cs="Arial"/>
            <w:i/>
            <w:iCs/>
            <w:sz w:val="20"/>
            <w:szCs w:val="20"/>
            <w:rPrChange w:id="24" w:author="Irina Lazar" w:date="2020-11-09T11:29:00Z">
              <w:rPr>
                <w:i/>
                <w:iCs/>
              </w:rPr>
            </w:rPrChange>
          </w:rPr>
          <w:delText>Hmx1</w:delText>
        </w:r>
        <w:r w:rsidR="00D446C9" w:rsidRPr="008A5D81" w:rsidDel="008A5D81">
          <w:rPr>
            <w:rFonts w:ascii="Arial" w:hAnsi="Arial" w:cs="Arial"/>
            <w:sz w:val="20"/>
            <w:szCs w:val="20"/>
            <w:rPrChange w:id="25" w:author="Irina Lazar" w:date="2020-11-09T11:29:00Z">
              <w:rPr/>
            </w:rPrChange>
          </w:rPr>
          <w:delText>) and Category 3 (</w:delText>
        </w:r>
        <w:r w:rsidR="00D446C9" w:rsidRPr="008A5D81" w:rsidDel="008A5D81">
          <w:rPr>
            <w:rFonts w:ascii="Arial" w:hAnsi="Arial" w:cs="Arial"/>
            <w:i/>
            <w:iCs/>
            <w:sz w:val="20"/>
            <w:szCs w:val="20"/>
            <w:rPrChange w:id="26" w:author="Irina Lazar" w:date="2020-11-09T11:29:00Z">
              <w:rPr>
                <w:i/>
                <w:iCs/>
              </w:rPr>
            </w:rPrChange>
          </w:rPr>
          <w:delText>Pdgfra</w:delText>
        </w:r>
        <w:r w:rsidR="00D446C9" w:rsidRPr="008A5D81" w:rsidDel="008A5D81">
          <w:rPr>
            <w:rFonts w:ascii="Arial" w:hAnsi="Arial" w:cs="Arial"/>
            <w:sz w:val="20"/>
            <w:szCs w:val="20"/>
            <w:rPrChange w:id="27" w:author="Irina Lazar" w:date="2020-11-09T11:29:00Z">
              <w:rPr/>
            </w:rPrChange>
          </w:rPr>
          <w:delText>) showing relative abundance of: transcripts from RNA-seq, chromatin accessibility from ATAC-seq and enrichment of 3 different histone marks (H3K27ac, H3K4me3 and H3K27me3) from ChIP-seq. Pup (PND15 ATAC-seq or PND14 RNA-seq samples) spermatogonia are represented in green and adult (PNW20 ATAC-seq samples or PNW8 RNA-seq and ChIP-seq samples) spermatogonia are represented in orange and overlayed in each of the IGV tracks.</w:delText>
        </w:r>
      </w:del>
    </w:p>
    <w:p w14:paraId="6EF3D5DE" w14:textId="74B8B1F3" w:rsidR="00440EBE" w:rsidRPr="00440EBE" w:rsidRDefault="00440EBE" w:rsidP="00FD0849">
      <w:pPr>
        <w:spacing w:before="240" w:line="276" w:lineRule="auto"/>
        <w:rPr>
          <w:sz w:val="20"/>
          <w:szCs w:val="20"/>
        </w:rPr>
      </w:pPr>
      <w:r w:rsidRPr="00440EBE">
        <w:rPr>
          <w:rFonts w:ascii="Arial" w:hAnsi="Arial" w:cs="Arial"/>
          <w:b/>
          <w:color w:val="000000" w:themeColor="text1"/>
          <w:sz w:val="20"/>
          <w:szCs w:val="20"/>
        </w:rPr>
        <w:t xml:space="preserve">Figure 4. Transcription factor dynamics at differentially accessible regions as predicted by motif enrichment in adult spermatogonial cells </w:t>
      </w:r>
    </w:p>
    <w:p w14:paraId="1B60A208" w14:textId="1238DA10" w:rsidR="00440EBE" w:rsidDel="008A5D81" w:rsidRDefault="00440EBE" w:rsidP="008A5D81">
      <w:pPr>
        <w:numPr>
          <w:ilvl w:val="0"/>
          <w:numId w:val="8"/>
        </w:numPr>
        <w:spacing w:before="240" w:after="120" w:line="276" w:lineRule="auto"/>
        <w:jc w:val="both"/>
        <w:rPr>
          <w:del w:id="28" w:author="Irina Lazar" w:date="2020-11-09T11:30:00Z"/>
          <w:rFonts w:ascii="Arial" w:hAnsi="Arial" w:cs="Arial"/>
          <w:sz w:val="20"/>
          <w:szCs w:val="20"/>
        </w:rPr>
      </w:pPr>
      <w:r w:rsidRPr="00440EBE">
        <w:rPr>
          <w:rFonts w:ascii="Arial" w:hAnsi="Arial" w:cs="Arial"/>
          <w:sz w:val="20"/>
          <w:szCs w:val="20"/>
        </w:rPr>
        <w:t>Dot plot of all transcription factor motifs enriched in the regions of decreased and increased accessibility between adult and PND15 spermatogonia;</w:t>
      </w:r>
    </w:p>
    <w:p w14:paraId="2A125914" w14:textId="77777777" w:rsidR="008A5D81" w:rsidRPr="00440EBE" w:rsidRDefault="008A5D81" w:rsidP="00440EBE">
      <w:pPr>
        <w:numPr>
          <w:ilvl w:val="0"/>
          <w:numId w:val="8"/>
        </w:numPr>
        <w:spacing w:before="240" w:after="120" w:line="276" w:lineRule="auto"/>
        <w:jc w:val="both"/>
        <w:rPr>
          <w:ins w:id="29" w:author="Irina Lazar" w:date="2020-11-09T11:30:00Z"/>
          <w:rFonts w:ascii="Arial" w:hAnsi="Arial" w:cs="Arial"/>
          <w:sz w:val="20"/>
          <w:szCs w:val="20"/>
        </w:rPr>
      </w:pPr>
    </w:p>
    <w:p w14:paraId="6534D476" w14:textId="6088C93B" w:rsidR="00440EBE" w:rsidRPr="008A5D81" w:rsidRDefault="005057D4">
      <w:pPr>
        <w:numPr>
          <w:ilvl w:val="0"/>
          <w:numId w:val="8"/>
        </w:numPr>
        <w:spacing w:before="120" w:after="120" w:line="276" w:lineRule="auto"/>
        <w:ind w:left="714" w:hanging="357"/>
        <w:jc w:val="both"/>
        <w:rPr>
          <w:rFonts w:ascii="Arial" w:hAnsi="Arial" w:cs="Arial"/>
          <w:sz w:val="20"/>
          <w:szCs w:val="20"/>
          <w:lang w:val="en-CH"/>
          <w:rPrChange w:id="30" w:author="Irina Lazar" w:date="2020-11-09T11:30:00Z">
            <w:rPr>
              <w:rFonts w:ascii="Arial" w:hAnsi="Arial" w:cs="Arial"/>
              <w:sz w:val="20"/>
              <w:szCs w:val="20"/>
            </w:rPr>
          </w:rPrChange>
        </w:rPr>
        <w:pPrChange w:id="31" w:author="Irina Lazar" w:date="2020-11-09T11:30:00Z">
          <w:pPr>
            <w:numPr>
              <w:numId w:val="8"/>
            </w:numPr>
            <w:spacing w:after="120" w:line="276" w:lineRule="auto"/>
            <w:ind w:left="720" w:hanging="360"/>
            <w:jc w:val="both"/>
          </w:pPr>
        </w:pPrChange>
      </w:pPr>
      <w:ins w:id="32" w:author="Irina Lazar" w:date="2020-11-09T12:28:00Z">
        <w:r w:rsidRPr="008A5D81">
          <w:rPr>
            <w:rFonts w:ascii="Arial" w:hAnsi="Arial" w:cs="Arial"/>
            <w:sz w:val="20"/>
            <w:szCs w:val="20"/>
          </w:rPr>
          <w:t xml:space="preserve">Genomic snapshots from the Integrative Genomics Viewer (IGV, Broad Institute) of </w:t>
        </w:r>
      </w:ins>
      <w:del w:id="33" w:author="Irina Lazar" w:date="2020-11-09T12:28:00Z">
        <w:r w:rsidR="00440EBE" w:rsidRPr="008A5D81" w:rsidDel="005057D4">
          <w:rPr>
            <w:rFonts w:ascii="Arial" w:hAnsi="Arial" w:cs="Arial"/>
            <w:sz w:val="20"/>
            <w:szCs w:val="20"/>
          </w:rPr>
          <w:delText xml:space="preserve">IGV genomic snapshots of the </w:delText>
        </w:r>
      </w:del>
      <w:r w:rsidR="00440EBE" w:rsidRPr="008A5D81">
        <w:rPr>
          <w:rFonts w:ascii="Arial" w:hAnsi="Arial" w:cs="Arial"/>
          <w:sz w:val="20"/>
          <w:szCs w:val="20"/>
        </w:rPr>
        <w:t xml:space="preserve">mRNA expression levels of representative enriched TFs in the regions of increased chromatin accessibility. </w:t>
      </w:r>
      <w:ins w:id="34" w:author="Irina Lazar" w:date="2020-11-09T11:29:00Z">
        <w:r w:rsidR="008A5D81" w:rsidRPr="008A5D81">
          <w:rPr>
            <w:rFonts w:ascii="Arial" w:hAnsi="Arial" w:cs="Arial"/>
            <w:sz w:val="20"/>
            <w:szCs w:val="20"/>
          </w:rPr>
          <w:t xml:space="preserve">RNA-seq data </w:t>
        </w:r>
      </w:ins>
      <w:ins w:id="35" w:author="Irina Lazar" w:date="2020-11-09T12:28:00Z">
        <w:r>
          <w:rPr>
            <w:rFonts w:ascii="Arial" w:hAnsi="Arial" w:cs="Arial"/>
            <w:sz w:val="20"/>
            <w:szCs w:val="20"/>
          </w:rPr>
          <w:t xml:space="preserve">corresponds to </w:t>
        </w:r>
      </w:ins>
      <w:ins w:id="36" w:author="Irina Lazar" w:date="2020-11-09T11:29:00Z">
        <w:r w:rsidR="008A5D81" w:rsidRPr="008A5D81">
          <w:rPr>
            <w:rFonts w:ascii="Arial" w:hAnsi="Arial" w:cs="Arial"/>
            <w:sz w:val="20"/>
            <w:szCs w:val="20"/>
          </w:rPr>
          <w:t xml:space="preserve">literature PND14 and adult (PNW8) spermatogonial cells and  ATAC-seq data </w:t>
        </w:r>
      </w:ins>
      <w:ins w:id="37" w:author="Irina Lazar" w:date="2020-11-09T12:29:00Z">
        <w:r>
          <w:rPr>
            <w:rFonts w:ascii="Arial" w:hAnsi="Arial" w:cs="Arial"/>
            <w:sz w:val="20"/>
            <w:szCs w:val="20"/>
          </w:rPr>
          <w:t>to</w:t>
        </w:r>
      </w:ins>
      <w:ins w:id="38" w:author="Irina Lazar" w:date="2020-11-09T11:29:00Z">
        <w:r w:rsidR="008A5D81" w:rsidRPr="008A5D81">
          <w:rPr>
            <w:rFonts w:ascii="Arial" w:hAnsi="Arial" w:cs="Arial"/>
            <w:sz w:val="20"/>
            <w:szCs w:val="20"/>
          </w:rPr>
          <w:t xml:space="preserve"> PND15 and adult (PNW20) spermatogonial cells, respectively</w:t>
        </w:r>
      </w:ins>
      <w:del w:id="39" w:author="Irina Lazar" w:date="2020-11-09T11:29:00Z">
        <w:r w:rsidR="00440EBE" w:rsidRPr="008A5D81" w:rsidDel="008A5D81">
          <w:rPr>
            <w:rFonts w:ascii="Arial" w:hAnsi="Arial" w:cs="Arial"/>
            <w:sz w:val="20"/>
            <w:szCs w:val="20"/>
          </w:rPr>
          <w:delText>Pup (PND14 RNA-seq samples) spermatogonia are represented in green and adult (PNW8 RNA-seq samples) spermatogonia are represented in orange and overlaid in the IGV track</w:delText>
        </w:r>
      </w:del>
      <w:r w:rsidR="00440EBE" w:rsidRPr="008A5D81">
        <w:rPr>
          <w:rFonts w:ascii="Arial" w:hAnsi="Arial" w:cs="Arial"/>
          <w:sz w:val="20"/>
          <w:szCs w:val="20"/>
        </w:rPr>
        <w:t>;</w:t>
      </w:r>
    </w:p>
    <w:p w14:paraId="36C79E9D" w14:textId="77777777" w:rsidR="00440EBE" w:rsidRPr="00440EBE" w:rsidRDefault="00440EBE" w:rsidP="00440EBE">
      <w:pPr>
        <w:numPr>
          <w:ilvl w:val="0"/>
          <w:numId w:val="8"/>
        </w:numPr>
        <w:spacing w:after="120" w:line="276" w:lineRule="auto"/>
        <w:jc w:val="both"/>
        <w:rPr>
          <w:rFonts w:ascii="Arial" w:hAnsi="Arial" w:cs="Arial"/>
          <w:sz w:val="20"/>
          <w:szCs w:val="20"/>
        </w:rPr>
      </w:pPr>
      <w:r w:rsidRPr="00440EBE">
        <w:rPr>
          <w:rFonts w:ascii="Arial" w:hAnsi="Arial" w:cs="Arial"/>
          <w:sz w:val="20"/>
          <w:szCs w:val="20"/>
        </w:rPr>
        <w:t>HOMER extracted consensus sequences for each transcription factor motif. Representative examples from the most enriched transcription factor families are depicted;</w:t>
      </w:r>
    </w:p>
    <w:p w14:paraId="231CCE85" w14:textId="77777777" w:rsidR="00440EBE" w:rsidRPr="00440EBE" w:rsidRDefault="00440EBE" w:rsidP="00440EBE">
      <w:pPr>
        <w:numPr>
          <w:ilvl w:val="0"/>
          <w:numId w:val="8"/>
        </w:numPr>
        <w:spacing w:after="120" w:line="276" w:lineRule="auto"/>
        <w:jc w:val="both"/>
        <w:rPr>
          <w:rFonts w:ascii="Arial" w:hAnsi="Arial" w:cs="Arial"/>
          <w:sz w:val="20"/>
          <w:szCs w:val="20"/>
        </w:rPr>
      </w:pPr>
      <w:r w:rsidRPr="00440EBE">
        <w:rPr>
          <w:rFonts w:ascii="Arial" w:hAnsi="Arial" w:cs="Arial"/>
          <w:sz w:val="20"/>
          <w:szCs w:val="20"/>
        </w:rPr>
        <w:t>Dot plots of top transcription factor motifs enriched in differentially accessible chromatin regions situated in gene bodies and in intergenic areas of the genome;</w:t>
      </w:r>
    </w:p>
    <w:p w14:paraId="38AD6E52" w14:textId="567EB3B6" w:rsidR="00717FB4" w:rsidRDefault="00440EBE" w:rsidP="003D1B0A">
      <w:pPr>
        <w:spacing w:after="120" w:line="276" w:lineRule="auto"/>
        <w:ind w:left="360"/>
        <w:jc w:val="both"/>
      </w:pPr>
      <w:r w:rsidRPr="00440EBE">
        <w:rPr>
          <w:rFonts w:ascii="Arial" w:hAnsi="Arial" w:cs="Arial"/>
          <w:color w:val="000000" w:themeColor="text1"/>
          <w:sz w:val="20"/>
          <w:szCs w:val="20"/>
        </w:rPr>
        <w:t>(A, D) Each dot corresponds to a motif. The differential gene expression of each transcription factor was extracted from the PND14 and PNW8 literature RNA-seq, and is shown as color coded Log</w:t>
      </w:r>
      <w:r w:rsidRPr="00440EBE">
        <w:rPr>
          <w:rFonts w:ascii="Arial" w:hAnsi="Arial" w:cs="Arial"/>
          <w:color w:val="000000" w:themeColor="text1"/>
          <w:sz w:val="20"/>
          <w:szCs w:val="20"/>
          <w:vertAlign w:val="subscript"/>
        </w:rPr>
        <w:t>2</w:t>
      </w:r>
      <w:r w:rsidRPr="00440EBE">
        <w:rPr>
          <w:rFonts w:ascii="Arial" w:hAnsi="Arial" w:cs="Arial"/>
          <w:color w:val="000000" w:themeColor="text1"/>
          <w:sz w:val="20"/>
          <w:szCs w:val="20"/>
        </w:rPr>
        <w:t xml:space="preserve"> FC. The size of the dot indicates the HOMER motif enrichment adjusted </w:t>
      </w:r>
      <w:r w:rsidRPr="00440EBE">
        <w:rPr>
          <w:rFonts w:ascii="Arial" w:hAnsi="Arial" w:cs="Arial"/>
          <w:i/>
          <w:color w:val="000000" w:themeColor="text1"/>
          <w:sz w:val="20"/>
          <w:szCs w:val="20"/>
        </w:rPr>
        <w:t>P</w:t>
      </w:r>
      <w:r w:rsidRPr="00440EBE">
        <w:rPr>
          <w:rFonts w:ascii="Arial" w:hAnsi="Arial" w:cs="Arial"/>
          <w:color w:val="000000" w:themeColor="text1"/>
          <w:sz w:val="20"/>
          <w:szCs w:val="20"/>
        </w:rPr>
        <w:t xml:space="preserve"> of each motif</w:t>
      </w:r>
      <w:ins w:id="40" w:author="Irina Lazar" w:date="2020-11-09T11:28:00Z">
        <w:r w:rsidR="008A5D81">
          <w:rPr>
            <w:rFonts w:ascii="Arial" w:hAnsi="Arial" w:cs="Arial"/>
            <w:color w:val="000000" w:themeColor="text1"/>
            <w:sz w:val="20"/>
            <w:szCs w:val="20"/>
          </w:rPr>
          <w:t>.</w:t>
        </w:r>
      </w:ins>
    </w:p>
    <w:p w14:paraId="3AC4E411" w14:textId="6DC11326" w:rsidR="009D7908" w:rsidRPr="009D7908" w:rsidRDefault="009D7908" w:rsidP="003D1B0A">
      <w:pPr>
        <w:spacing w:before="240" w:after="120" w:line="276" w:lineRule="auto"/>
        <w:jc w:val="both"/>
        <w:rPr>
          <w:rFonts w:ascii="Arial" w:hAnsi="Arial" w:cs="Arial"/>
          <w:sz w:val="20"/>
          <w:szCs w:val="20"/>
        </w:rPr>
      </w:pPr>
      <w:r w:rsidRPr="009D7908">
        <w:rPr>
          <w:rFonts w:ascii="Arial" w:hAnsi="Arial" w:cs="Arial"/>
          <w:b/>
          <w:sz w:val="20"/>
          <w:szCs w:val="20"/>
        </w:rPr>
        <w:t>Figure 5. Differential chromatin accessibility at transposable elements (TEs) in adult spermatogonial cells compared to PND15</w:t>
      </w:r>
    </w:p>
    <w:p w14:paraId="2E6E372B" w14:textId="77777777" w:rsidR="009D7908" w:rsidRPr="009D7908" w:rsidRDefault="009D7908" w:rsidP="009D7908">
      <w:pPr>
        <w:pStyle w:val="ListParagraph"/>
        <w:numPr>
          <w:ilvl w:val="0"/>
          <w:numId w:val="9"/>
        </w:numPr>
        <w:spacing w:before="0" w:after="120" w:line="360" w:lineRule="auto"/>
        <w:ind w:left="714" w:hanging="357"/>
        <w:contextualSpacing w:val="0"/>
        <w:jc w:val="both"/>
        <w:rPr>
          <w:rFonts w:ascii="Arial" w:hAnsi="Arial" w:cs="Arial"/>
          <w:sz w:val="20"/>
          <w:szCs w:val="20"/>
        </w:rPr>
      </w:pPr>
      <w:r w:rsidRPr="009D7908">
        <w:rPr>
          <w:rFonts w:ascii="Arial" w:hAnsi="Arial" w:cs="Arial"/>
          <w:sz w:val="20"/>
          <w:szCs w:val="20"/>
        </w:rPr>
        <w:t xml:space="preserve">Heatmap of the LTR and LINE subtypes with decreased accessibility between adult and PND15 spermatogonia (adjusted </w:t>
      </w:r>
      <w:r w:rsidRPr="009D7908">
        <w:rPr>
          <w:rFonts w:ascii="Arial" w:hAnsi="Arial" w:cs="Arial"/>
          <w:i/>
          <w:sz w:val="20"/>
          <w:szCs w:val="20"/>
        </w:rPr>
        <w:t xml:space="preserve">P </w:t>
      </w:r>
      <w:r w:rsidRPr="009D7908">
        <w:rPr>
          <w:rFonts w:ascii="Arial" w:hAnsi="Arial" w:cs="Arial"/>
          <w:sz w:val="20"/>
          <w:szCs w:val="20"/>
        </w:rPr>
        <w:t>≤ 0.05 and Log</w:t>
      </w:r>
      <w:r w:rsidRPr="009D7908">
        <w:rPr>
          <w:rFonts w:ascii="Arial" w:hAnsi="Arial" w:cs="Arial"/>
          <w:sz w:val="20"/>
          <w:szCs w:val="20"/>
          <w:vertAlign w:val="subscript"/>
        </w:rPr>
        <w:t>2</w:t>
      </w:r>
      <w:r w:rsidRPr="009D7908">
        <w:rPr>
          <w:rFonts w:ascii="Arial" w:hAnsi="Arial" w:cs="Arial"/>
          <w:sz w:val="20"/>
          <w:szCs w:val="20"/>
        </w:rPr>
        <w:t xml:space="preserve"> FC ≥ 0.5); </w:t>
      </w:r>
    </w:p>
    <w:p w14:paraId="5547420A" w14:textId="575FE25B" w:rsidR="009D7908" w:rsidRPr="009D7908" w:rsidRDefault="009D7908" w:rsidP="009D7908">
      <w:pPr>
        <w:pStyle w:val="ListParagraph"/>
        <w:numPr>
          <w:ilvl w:val="0"/>
          <w:numId w:val="9"/>
        </w:numPr>
        <w:spacing w:before="0" w:after="120" w:line="276" w:lineRule="auto"/>
        <w:ind w:left="714" w:hanging="357"/>
        <w:jc w:val="both"/>
        <w:rPr>
          <w:rFonts w:ascii="Arial" w:hAnsi="Arial" w:cs="Arial"/>
          <w:sz w:val="20"/>
          <w:szCs w:val="20"/>
        </w:rPr>
      </w:pPr>
      <w:r w:rsidRPr="009D7908">
        <w:rPr>
          <w:rFonts w:ascii="Arial" w:hAnsi="Arial" w:cs="Arial"/>
          <w:sz w:val="20"/>
          <w:szCs w:val="20"/>
        </w:rPr>
        <w:t xml:space="preserve">Heatmap of the LTR and LINE subtypes with increased accessibility between adult and PND15 spermatogonia (adjusted </w:t>
      </w:r>
      <w:r w:rsidRPr="009D7908">
        <w:rPr>
          <w:rFonts w:ascii="Arial" w:hAnsi="Arial" w:cs="Arial"/>
          <w:i/>
          <w:sz w:val="20"/>
          <w:szCs w:val="20"/>
        </w:rPr>
        <w:t xml:space="preserve">P </w:t>
      </w:r>
      <w:r w:rsidRPr="009D7908">
        <w:rPr>
          <w:rFonts w:ascii="Arial" w:hAnsi="Arial" w:cs="Arial"/>
          <w:sz w:val="20"/>
          <w:szCs w:val="20"/>
        </w:rPr>
        <w:t>≤ 0.05 and Log</w:t>
      </w:r>
      <w:r w:rsidRPr="009D7908">
        <w:rPr>
          <w:rFonts w:ascii="Arial" w:hAnsi="Arial" w:cs="Arial"/>
          <w:sz w:val="20"/>
          <w:szCs w:val="20"/>
          <w:vertAlign w:val="subscript"/>
        </w:rPr>
        <w:t>2</w:t>
      </w:r>
      <w:r w:rsidRPr="009D7908">
        <w:rPr>
          <w:rFonts w:ascii="Arial" w:hAnsi="Arial" w:cs="Arial"/>
          <w:sz w:val="20"/>
          <w:szCs w:val="20"/>
        </w:rPr>
        <w:t xml:space="preserve"> FC ≥ 0.5). Expression changes of these subtypes between PNW8 and PND14 spermatogonia literature RNA-seq is represented as Log</w:t>
      </w:r>
      <w:r w:rsidRPr="009D7908">
        <w:rPr>
          <w:rFonts w:ascii="Arial" w:hAnsi="Arial" w:cs="Arial"/>
          <w:sz w:val="20"/>
          <w:szCs w:val="20"/>
          <w:vertAlign w:val="subscript"/>
        </w:rPr>
        <w:t>2</w:t>
      </w:r>
      <w:r w:rsidRPr="009D7908">
        <w:rPr>
          <w:rFonts w:ascii="Arial" w:hAnsi="Arial" w:cs="Arial"/>
          <w:sz w:val="20"/>
          <w:szCs w:val="20"/>
        </w:rPr>
        <w:t xml:space="preserve"> FC;  </w:t>
      </w:r>
      <w:r w:rsidR="008365D0">
        <w:rPr>
          <w:rFonts w:ascii="Arial" w:hAnsi="Arial" w:cs="Arial"/>
          <w:sz w:val="20"/>
          <w:szCs w:val="20"/>
        </w:rPr>
        <w:br/>
      </w:r>
      <w:r w:rsidR="008365D0">
        <w:rPr>
          <w:rFonts w:ascii="Arial" w:hAnsi="Arial" w:cs="Arial"/>
          <w:sz w:val="20"/>
          <w:szCs w:val="20"/>
        </w:rPr>
        <w:br/>
        <w:t xml:space="preserve">(A, B) </w:t>
      </w:r>
      <w:r w:rsidR="008365D0" w:rsidRPr="00077CCE">
        <w:rPr>
          <w:rFonts w:ascii="Arial" w:hAnsi="Arial" w:cs="Arial"/>
          <w:sz w:val="20"/>
          <w:szCs w:val="20"/>
        </w:rPr>
        <w:t>Log</w:t>
      </w:r>
      <w:r w:rsidR="008365D0" w:rsidRPr="00077CCE">
        <w:rPr>
          <w:rFonts w:ascii="Arial" w:hAnsi="Arial" w:cs="Arial"/>
          <w:sz w:val="20"/>
          <w:szCs w:val="20"/>
          <w:vertAlign w:val="subscript"/>
        </w:rPr>
        <w:t xml:space="preserve">2 </w:t>
      </w:r>
      <w:r w:rsidR="00905803">
        <w:rPr>
          <w:rFonts w:ascii="Arial" w:hAnsi="Arial" w:cs="Arial"/>
          <w:sz w:val="20"/>
          <w:szCs w:val="20"/>
        </w:rPr>
        <w:t>FC</w:t>
      </w:r>
      <w:r w:rsidR="008365D0" w:rsidRPr="00077CCE">
        <w:rPr>
          <w:rFonts w:ascii="Arial" w:hAnsi="Arial" w:cs="Arial"/>
          <w:sz w:val="20"/>
          <w:szCs w:val="20"/>
        </w:rPr>
        <w:t xml:space="preserve"> </w:t>
      </w:r>
      <w:r w:rsidR="008365D0">
        <w:rPr>
          <w:rFonts w:ascii="Arial" w:hAnsi="Arial" w:cs="Arial"/>
          <w:sz w:val="20"/>
          <w:szCs w:val="20"/>
        </w:rPr>
        <w:t xml:space="preserve">are shown </w:t>
      </w:r>
      <w:r w:rsidR="008365D0" w:rsidRPr="00077CCE">
        <w:rPr>
          <w:rFonts w:ascii="Arial" w:hAnsi="Arial" w:cs="Arial"/>
          <w:sz w:val="20"/>
          <w:szCs w:val="20"/>
        </w:rPr>
        <w:t>with respect to the average of the PND</w:t>
      </w:r>
      <w:r w:rsidR="008365D0">
        <w:rPr>
          <w:rFonts w:ascii="Arial" w:hAnsi="Arial" w:cs="Arial"/>
          <w:sz w:val="20"/>
          <w:szCs w:val="20"/>
        </w:rPr>
        <w:t xml:space="preserve">15 samples. </w:t>
      </w:r>
      <w:r w:rsidR="008365D0" w:rsidRPr="008365D0">
        <w:rPr>
          <w:rFonts w:ascii="Arial" w:hAnsi="Arial" w:cs="Arial"/>
          <w:sz w:val="20"/>
          <w:szCs w:val="20"/>
        </w:rPr>
        <w:t>Samples are clustered using Ward’s method</w:t>
      </w:r>
      <w:r w:rsidR="008365D0">
        <w:rPr>
          <w:rFonts w:ascii="Arial" w:hAnsi="Arial" w:cs="Arial"/>
          <w:sz w:val="20"/>
          <w:szCs w:val="20"/>
        </w:rPr>
        <w:t xml:space="preserve">. Subtypes </w:t>
      </w:r>
      <w:r w:rsidR="008365D0" w:rsidRPr="008365D0">
        <w:rPr>
          <w:rFonts w:ascii="Arial" w:hAnsi="Arial" w:cs="Arial"/>
          <w:sz w:val="20"/>
          <w:szCs w:val="20"/>
        </w:rPr>
        <w:t xml:space="preserve">are ordered by </w:t>
      </w:r>
      <w:r w:rsidR="00905803">
        <w:rPr>
          <w:rFonts w:ascii="Arial" w:hAnsi="Arial" w:cs="Arial"/>
          <w:sz w:val="20"/>
          <w:szCs w:val="20"/>
        </w:rPr>
        <w:t>principal component analysis (</w:t>
      </w:r>
      <w:r w:rsidR="008365D0" w:rsidRPr="008365D0">
        <w:rPr>
          <w:rFonts w:ascii="Arial" w:hAnsi="Arial" w:cs="Arial"/>
          <w:sz w:val="20"/>
          <w:szCs w:val="20"/>
        </w:rPr>
        <w:t>PCA</w:t>
      </w:r>
      <w:r w:rsidR="00905803">
        <w:rPr>
          <w:rFonts w:ascii="Arial" w:hAnsi="Arial" w:cs="Arial"/>
          <w:sz w:val="20"/>
          <w:szCs w:val="20"/>
        </w:rPr>
        <w:t>)</w:t>
      </w:r>
      <w:r w:rsidR="008365D0" w:rsidRPr="008365D0">
        <w:rPr>
          <w:rFonts w:ascii="Arial" w:hAnsi="Arial" w:cs="Arial"/>
          <w:sz w:val="20"/>
          <w:szCs w:val="20"/>
        </w:rPr>
        <w:t xml:space="preserve"> method using seriation (R package);</w:t>
      </w:r>
    </w:p>
    <w:p w14:paraId="29BD562C" w14:textId="77777777" w:rsidR="009D7908" w:rsidRPr="009D7908" w:rsidRDefault="009D7908" w:rsidP="00CE1D6E">
      <w:pPr>
        <w:numPr>
          <w:ilvl w:val="0"/>
          <w:numId w:val="9"/>
        </w:numPr>
        <w:spacing w:after="120" w:line="276" w:lineRule="auto"/>
        <w:jc w:val="both"/>
        <w:rPr>
          <w:rFonts w:ascii="Arial" w:hAnsi="Arial" w:cs="Arial"/>
          <w:sz w:val="20"/>
          <w:szCs w:val="20"/>
        </w:rPr>
      </w:pPr>
      <w:r w:rsidRPr="009D7908">
        <w:rPr>
          <w:rFonts w:ascii="Arial" w:hAnsi="Arial" w:cs="Arial"/>
          <w:sz w:val="20"/>
          <w:szCs w:val="20"/>
        </w:rPr>
        <w:t>Bar plot illustrating the genomic distribution of differentially accessible TEs between adult and PND15 spermatogonial cells;</w:t>
      </w:r>
    </w:p>
    <w:p w14:paraId="5F9F95F9" w14:textId="482575A2" w:rsidR="009D7908" w:rsidRDefault="005057D4" w:rsidP="00CE1D6E">
      <w:pPr>
        <w:pStyle w:val="ListParagraph"/>
        <w:numPr>
          <w:ilvl w:val="0"/>
          <w:numId w:val="9"/>
        </w:numPr>
        <w:spacing w:before="0" w:after="120" w:line="276" w:lineRule="auto"/>
        <w:ind w:left="714" w:hanging="357"/>
        <w:contextualSpacing w:val="0"/>
        <w:jc w:val="both"/>
        <w:rPr>
          <w:rFonts w:ascii="Arial" w:hAnsi="Arial" w:cs="Arial"/>
          <w:sz w:val="20"/>
          <w:szCs w:val="20"/>
        </w:rPr>
      </w:pPr>
      <w:ins w:id="41" w:author="Irina Lazar" w:date="2020-11-09T12:27:00Z">
        <w:r w:rsidRPr="008A5D81">
          <w:rPr>
            <w:rFonts w:ascii="Arial" w:hAnsi="Arial" w:cs="Arial"/>
            <w:sz w:val="20"/>
            <w:szCs w:val="20"/>
          </w:rPr>
          <w:t xml:space="preserve">Genomic snapshots from the Integrative Genomics Viewer (IGV, Broad Institute) </w:t>
        </w:r>
        <w:r>
          <w:rPr>
            <w:rFonts w:ascii="Arial" w:hAnsi="Arial" w:cs="Arial"/>
            <w:sz w:val="20"/>
            <w:szCs w:val="20"/>
          </w:rPr>
          <w:t>of</w:t>
        </w:r>
      </w:ins>
      <w:del w:id="42" w:author="Irina Lazar" w:date="2020-11-09T12:27:00Z">
        <w:r w:rsidR="009D7908" w:rsidRPr="009D7908" w:rsidDel="005057D4">
          <w:rPr>
            <w:rFonts w:ascii="Arial" w:hAnsi="Arial" w:cs="Arial"/>
            <w:sz w:val="20"/>
            <w:szCs w:val="20"/>
          </w:rPr>
          <w:delText>IGV genomic snapshots of the of exemplary genes</w:delText>
        </w:r>
      </w:del>
      <w:r w:rsidR="009D7908" w:rsidRPr="009D7908">
        <w:rPr>
          <w:rFonts w:ascii="Arial" w:hAnsi="Arial" w:cs="Arial"/>
          <w:sz w:val="20"/>
          <w:szCs w:val="20"/>
        </w:rPr>
        <w:t xml:space="preserve"> </w:t>
      </w:r>
      <w:r w:rsidR="009D7908" w:rsidRPr="009D7908">
        <w:rPr>
          <w:rFonts w:ascii="Arial" w:hAnsi="Arial" w:cs="Arial"/>
          <w:i/>
          <w:iCs/>
          <w:sz w:val="20"/>
          <w:szCs w:val="20"/>
        </w:rPr>
        <w:t>Lncenc1</w:t>
      </w:r>
      <w:r w:rsidR="009D7908" w:rsidRPr="009D7908">
        <w:rPr>
          <w:rFonts w:ascii="Arial" w:hAnsi="Arial" w:cs="Arial"/>
          <w:sz w:val="20"/>
          <w:szCs w:val="20"/>
        </w:rPr>
        <w:t xml:space="preserve"> and </w:t>
      </w:r>
      <w:r w:rsidR="009D7908" w:rsidRPr="009D7908">
        <w:rPr>
          <w:rFonts w:ascii="Arial" w:hAnsi="Arial" w:cs="Arial"/>
          <w:i/>
          <w:iCs/>
          <w:sz w:val="20"/>
          <w:szCs w:val="20"/>
        </w:rPr>
        <w:t>Platr14</w:t>
      </w:r>
      <w:r w:rsidR="009D7908" w:rsidRPr="009D7908">
        <w:rPr>
          <w:rFonts w:ascii="Arial" w:hAnsi="Arial" w:cs="Arial"/>
          <w:sz w:val="20"/>
          <w:szCs w:val="20"/>
        </w:rPr>
        <w:t xml:space="preserve"> showing LTRs from RepeatMasker and the average normalized RNA-seq and ATAC-seq coverage (RPKM). LTR loci were extracted using RepeatMasker. </w:t>
      </w:r>
      <w:ins w:id="43" w:author="Irina Lazar" w:date="2020-11-09T11:32:00Z">
        <w:r w:rsidR="00900969" w:rsidRPr="006F2F0C">
          <w:rPr>
            <w:rFonts w:ascii="Arial" w:hAnsi="Arial" w:cs="Arial"/>
            <w:sz w:val="20"/>
            <w:szCs w:val="20"/>
          </w:rPr>
          <w:t xml:space="preserve">RNA-seq data </w:t>
        </w:r>
      </w:ins>
      <w:ins w:id="44" w:author="Irina Lazar" w:date="2020-11-09T12:27:00Z">
        <w:r>
          <w:rPr>
            <w:rFonts w:ascii="Arial" w:hAnsi="Arial" w:cs="Arial"/>
            <w:sz w:val="20"/>
            <w:szCs w:val="20"/>
          </w:rPr>
          <w:t>corresponds to</w:t>
        </w:r>
      </w:ins>
      <w:ins w:id="45" w:author="Irina Lazar" w:date="2020-11-09T11:32:00Z">
        <w:r w:rsidR="00900969" w:rsidRPr="006F2F0C">
          <w:rPr>
            <w:rFonts w:ascii="Arial" w:hAnsi="Arial" w:cs="Arial"/>
            <w:sz w:val="20"/>
            <w:szCs w:val="20"/>
          </w:rPr>
          <w:t xml:space="preserve"> literature PND14 and adult (PNW8) spermatogonial cells and  ATAC-seq data </w:t>
        </w:r>
      </w:ins>
      <w:ins w:id="46" w:author="Irina Lazar" w:date="2020-11-09T12:27:00Z">
        <w:r>
          <w:rPr>
            <w:rFonts w:ascii="Arial" w:hAnsi="Arial" w:cs="Arial"/>
            <w:sz w:val="20"/>
            <w:szCs w:val="20"/>
          </w:rPr>
          <w:t>to</w:t>
        </w:r>
      </w:ins>
      <w:ins w:id="47" w:author="Irina Lazar" w:date="2020-11-09T11:32:00Z">
        <w:r w:rsidR="00900969" w:rsidRPr="006F2F0C">
          <w:rPr>
            <w:rFonts w:ascii="Arial" w:hAnsi="Arial" w:cs="Arial"/>
            <w:sz w:val="20"/>
            <w:szCs w:val="20"/>
          </w:rPr>
          <w:t xml:space="preserve"> PND15 and adult (PNW20) spermatogonial cells, respectively</w:t>
        </w:r>
      </w:ins>
      <w:del w:id="48" w:author="Irina Lazar" w:date="2020-11-09T11:32:00Z">
        <w:r w:rsidR="009D7908" w:rsidRPr="009D7908" w:rsidDel="00900969">
          <w:rPr>
            <w:rFonts w:ascii="Arial" w:hAnsi="Arial" w:cs="Arial"/>
            <w:sz w:val="20"/>
            <w:szCs w:val="20"/>
          </w:rPr>
          <w:delText>Pup (PND15 ATAC-seq and PND14 RNA-seq samples) spermatogonia are represented in green and adult (PNW20 ATAC-seq and PNW8 RNA-seq samples) spermatogonia are represented in orange and overlaid in each of the IGV tracks</w:delText>
        </w:r>
      </w:del>
      <w:r w:rsidR="009D7908" w:rsidRPr="009D7908">
        <w:rPr>
          <w:rFonts w:ascii="Arial" w:hAnsi="Arial" w:cs="Arial"/>
          <w:sz w:val="20"/>
          <w:szCs w:val="20"/>
        </w:rPr>
        <w:t>;</w:t>
      </w:r>
    </w:p>
    <w:p w14:paraId="4C837D42" w14:textId="1462D101" w:rsidR="0062776E" w:rsidRDefault="009D7908" w:rsidP="003D1B0A">
      <w:pPr>
        <w:pStyle w:val="ListParagraph"/>
        <w:numPr>
          <w:ilvl w:val="0"/>
          <w:numId w:val="9"/>
        </w:numPr>
        <w:spacing w:before="0" w:after="120" w:line="276" w:lineRule="auto"/>
        <w:ind w:left="714" w:hanging="357"/>
        <w:jc w:val="both"/>
      </w:pPr>
      <w:r w:rsidRPr="009D7908">
        <w:rPr>
          <w:rFonts w:ascii="Arial" w:hAnsi="Arial" w:cs="Arial"/>
          <w:sz w:val="20"/>
          <w:szCs w:val="20"/>
        </w:rPr>
        <w:t>Dot plots of top transcription factor motifs enriched in the less accessible ERVKs and ERVL subtypes. Each dot corresponds to a motif. The differential gene expression of each transcription factor was extracted from the PNW8 vs PND14 comparison from literature RNA-</w:t>
      </w:r>
      <w:r w:rsidRPr="009D7908">
        <w:rPr>
          <w:rFonts w:ascii="Arial" w:hAnsi="Arial" w:cs="Arial"/>
          <w:sz w:val="20"/>
          <w:szCs w:val="20"/>
        </w:rPr>
        <w:lastRenderedPageBreak/>
        <w:t>seq, and is shown as color coded Log</w:t>
      </w:r>
      <w:r w:rsidRPr="009D7908">
        <w:rPr>
          <w:rFonts w:ascii="Arial" w:hAnsi="Arial" w:cs="Arial"/>
          <w:sz w:val="20"/>
          <w:szCs w:val="20"/>
          <w:vertAlign w:val="subscript"/>
        </w:rPr>
        <w:t>2</w:t>
      </w:r>
      <w:r w:rsidRPr="009D7908">
        <w:rPr>
          <w:rFonts w:ascii="Arial" w:hAnsi="Arial" w:cs="Arial"/>
          <w:sz w:val="20"/>
          <w:szCs w:val="20"/>
        </w:rPr>
        <w:t xml:space="preserve"> FC. The size of the dot indicates the HOMER motif enrichment adjusted </w:t>
      </w:r>
      <w:r w:rsidRPr="009D7908">
        <w:rPr>
          <w:rFonts w:ascii="Arial" w:hAnsi="Arial" w:cs="Arial"/>
          <w:i/>
          <w:sz w:val="20"/>
          <w:szCs w:val="20"/>
        </w:rPr>
        <w:t>P</w:t>
      </w:r>
      <w:r w:rsidRPr="009D7908">
        <w:rPr>
          <w:rFonts w:ascii="Arial" w:hAnsi="Arial" w:cs="Arial"/>
          <w:sz w:val="20"/>
          <w:szCs w:val="20"/>
        </w:rPr>
        <w:t xml:space="preserve"> of each motif.</w:t>
      </w:r>
    </w:p>
    <w:p w14:paraId="630400AA" w14:textId="77777777" w:rsidR="0062776E" w:rsidRPr="0062776E" w:rsidRDefault="0062776E" w:rsidP="003D1B0A">
      <w:pPr>
        <w:spacing w:before="240" w:after="120"/>
        <w:rPr>
          <w:rFonts w:ascii="Arial" w:hAnsi="Arial" w:cs="Arial"/>
          <w:sz w:val="20"/>
          <w:szCs w:val="20"/>
        </w:rPr>
      </w:pPr>
      <w:r w:rsidRPr="0062776E">
        <w:rPr>
          <w:rFonts w:ascii="Arial" w:hAnsi="Arial" w:cs="Arial"/>
          <w:b/>
          <w:sz w:val="20"/>
          <w:szCs w:val="20"/>
        </w:rPr>
        <w:t xml:space="preserve">Figure 6. Increased accessibility at LINE L1 subtypes located near </w:t>
      </w:r>
      <w:r w:rsidRPr="0062776E">
        <w:rPr>
          <w:rFonts w:ascii="Arial" w:hAnsi="Arial" w:cs="Arial"/>
          <w:b/>
          <w:i/>
          <w:iCs/>
          <w:sz w:val="20"/>
          <w:szCs w:val="20"/>
        </w:rPr>
        <w:t>Olfr</w:t>
      </w:r>
      <w:r w:rsidRPr="0062776E">
        <w:rPr>
          <w:rFonts w:ascii="Arial" w:hAnsi="Arial" w:cs="Arial"/>
          <w:b/>
          <w:sz w:val="20"/>
          <w:szCs w:val="20"/>
        </w:rPr>
        <w:t xml:space="preserve"> gene clusters </w:t>
      </w:r>
    </w:p>
    <w:p w14:paraId="2B9A75FE" w14:textId="06C3FB06" w:rsidR="0062776E" w:rsidRPr="0062776E" w:rsidRDefault="0062776E" w:rsidP="0062776E">
      <w:pPr>
        <w:pStyle w:val="ListParagraph"/>
        <w:numPr>
          <w:ilvl w:val="0"/>
          <w:numId w:val="10"/>
        </w:numPr>
        <w:spacing w:after="120" w:line="276" w:lineRule="auto"/>
        <w:ind w:left="714" w:hanging="357"/>
        <w:contextualSpacing w:val="0"/>
        <w:jc w:val="both"/>
        <w:rPr>
          <w:rFonts w:ascii="Arial" w:hAnsi="Arial" w:cs="Arial"/>
          <w:sz w:val="20"/>
          <w:szCs w:val="20"/>
        </w:rPr>
      </w:pPr>
      <w:r w:rsidRPr="0062776E">
        <w:rPr>
          <w:rFonts w:ascii="Arial" w:hAnsi="Arial" w:cs="Arial"/>
          <w:bCs/>
          <w:sz w:val="20"/>
          <w:szCs w:val="20"/>
        </w:rPr>
        <w:t>Heatmap of the</w:t>
      </w:r>
      <w:r w:rsidRPr="0062776E">
        <w:rPr>
          <w:rFonts w:ascii="Arial" w:hAnsi="Arial" w:cs="Arial"/>
          <w:bCs/>
          <w:i/>
          <w:iCs/>
          <w:sz w:val="20"/>
          <w:szCs w:val="20"/>
        </w:rPr>
        <w:t xml:space="preserve"> Olfr </w:t>
      </w:r>
      <w:r w:rsidRPr="0062776E">
        <w:rPr>
          <w:rFonts w:ascii="Arial" w:hAnsi="Arial" w:cs="Arial"/>
          <w:bCs/>
          <w:sz w:val="20"/>
          <w:szCs w:val="20"/>
        </w:rPr>
        <w:t>genes for which we identified an upregulated expression from PND14 to PNW8 timepoints and an increase in accessibility at a nearby L1 locus. RNA expression levels are expressed as Log</w:t>
      </w:r>
      <w:r w:rsidRPr="0062776E">
        <w:rPr>
          <w:rFonts w:ascii="Arial" w:hAnsi="Arial" w:cs="Arial"/>
          <w:bCs/>
          <w:sz w:val="20"/>
          <w:szCs w:val="20"/>
          <w:vertAlign w:val="subscript"/>
        </w:rPr>
        <w:t>2</w:t>
      </w:r>
      <w:r w:rsidRPr="0062776E">
        <w:rPr>
          <w:rFonts w:ascii="Arial" w:hAnsi="Arial" w:cs="Arial"/>
          <w:bCs/>
          <w:sz w:val="20"/>
          <w:szCs w:val="20"/>
        </w:rPr>
        <w:t xml:space="preserve"> CPM at each timepoint. Accessibility changes at each of the corresponding L1 locus situated within +/- 5kbp from the gene are expressed as Log</w:t>
      </w:r>
      <w:r w:rsidRPr="0062776E">
        <w:rPr>
          <w:rFonts w:ascii="Arial" w:hAnsi="Arial" w:cs="Arial"/>
          <w:bCs/>
          <w:sz w:val="20"/>
          <w:szCs w:val="20"/>
          <w:vertAlign w:val="subscript"/>
        </w:rPr>
        <w:t>2</w:t>
      </w:r>
      <w:r w:rsidRPr="0062776E">
        <w:rPr>
          <w:rFonts w:ascii="Arial" w:hAnsi="Arial" w:cs="Arial"/>
          <w:bCs/>
          <w:sz w:val="20"/>
          <w:szCs w:val="20"/>
        </w:rPr>
        <w:t xml:space="preserve"> FC calculated from the ATAC-seq analysis of the differentially accessible TEs between adult and PND15 spermatogonial cells</w:t>
      </w:r>
      <w:r w:rsidR="00F174F6">
        <w:rPr>
          <w:rFonts w:ascii="Arial" w:hAnsi="Arial" w:cs="Arial"/>
          <w:bCs/>
          <w:sz w:val="20"/>
          <w:szCs w:val="20"/>
        </w:rPr>
        <w:t xml:space="preserve">. Locus are </w:t>
      </w:r>
      <w:r w:rsidR="00F174F6" w:rsidRPr="008365D0">
        <w:rPr>
          <w:rFonts w:ascii="Arial" w:hAnsi="Arial" w:cs="Arial"/>
          <w:sz w:val="20"/>
          <w:szCs w:val="20"/>
        </w:rPr>
        <w:t>ordered by PCA method using seriation (R package)</w:t>
      </w:r>
      <w:r w:rsidRPr="0062776E">
        <w:rPr>
          <w:rFonts w:ascii="Arial" w:hAnsi="Arial" w:cs="Arial"/>
          <w:bCs/>
          <w:sz w:val="20"/>
          <w:szCs w:val="20"/>
        </w:rPr>
        <w:t>;</w:t>
      </w:r>
    </w:p>
    <w:p w14:paraId="5FAD4AE4" w14:textId="72598AAB" w:rsidR="0062776E" w:rsidRPr="0062776E" w:rsidRDefault="005057D4" w:rsidP="0062776E">
      <w:pPr>
        <w:pStyle w:val="ListParagraph"/>
        <w:numPr>
          <w:ilvl w:val="0"/>
          <w:numId w:val="10"/>
        </w:numPr>
        <w:spacing w:after="120" w:line="276" w:lineRule="auto"/>
        <w:jc w:val="both"/>
        <w:rPr>
          <w:rFonts w:ascii="Arial" w:hAnsi="Arial" w:cs="Arial"/>
          <w:sz w:val="20"/>
          <w:szCs w:val="20"/>
        </w:rPr>
      </w:pPr>
      <w:ins w:id="49" w:author="Irina Lazar" w:date="2020-11-09T12:28:00Z">
        <w:r w:rsidRPr="008A5D81">
          <w:rPr>
            <w:rFonts w:ascii="Arial" w:hAnsi="Arial" w:cs="Arial"/>
            <w:sz w:val="20"/>
            <w:szCs w:val="20"/>
          </w:rPr>
          <w:t xml:space="preserve">Genomic snapshots from the Integrative Genomics Viewer (IGV, Broad Institute) of exemplary genes </w:t>
        </w:r>
      </w:ins>
      <w:del w:id="50" w:author="Irina Lazar" w:date="2020-11-09T12:28:00Z">
        <w:r w:rsidR="0062776E" w:rsidRPr="0062776E" w:rsidDel="005057D4">
          <w:rPr>
            <w:rFonts w:ascii="Arial" w:hAnsi="Arial" w:cs="Arial"/>
            <w:sz w:val="20"/>
            <w:szCs w:val="20"/>
          </w:rPr>
          <w:delText xml:space="preserve">IGV Genomic snapshots of the of exemplary genes </w:delText>
        </w:r>
      </w:del>
      <w:r w:rsidR="0062776E" w:rsidRPr="0062776E">
        <w:rPr>
          <w:rFonts w:ascii="Arial" w:hAnsi="Arial" w:cs="Arial"/>
          <w:i/>
          <w:iCs/>
          <w:sz w:val="20"/>
          <w:szCs w:val="20"/>
        </w:rPr>
        <w:t xml:space="preserve">Olfr1497 </w:t>
      </w:r>
      <w:r w:rsidR="0062776E" w:rsidRPr="0062776E">
        <w:rPr>
          <w:rFonts w:ascii="Arial" w:hAnsi="Arial" w:cs="Arial"/>
          <w:sz w:val="20"/>
          <w:szCs w:val="20"/>
        </w:rPr>
        <w:t>and</w:t>
      </w:r>
      <w:r w:rsidR="0062776E" w:rsidRPr="0062776E">
        <w:rPr>
          <w:rFonts w:ascii="Arial" w:hAnsi="Arial" w:cs="Arial"/>
          <w:i/>
          <w:iCs/>
          <w:sz w:val="20"/>
          <w:szCs w:val="20"/>
        </w:rPr>
        <w:t xml:space="preserve"> Olfr362</w:t>
      </w:r>
      <w:r w:rsidR="0062776E" w:rsidRPr="0062776E">
        <w:rPr>
          <w:rFonts w:ascii="Arial" w:hAnsi="Arial" w:cs="Arial"/>
          <w:sz w:val="20"/>
          <w:szCs w:val="20"/>
        </w:rPr>
        <w:t xml:space="preserve"> showing relative abundance of transcripts from RNA-seq and chromatin accessibility from ATAC-seq. LINE loci were extracted using Repeat Masker. </w:t>
      </w:r>
      <w:ins w:id="51" w:author="Irina Lazar" w:date="2020-11-09T11:32:00Z">
        <w:r w:rsidR="00900969" w:rsidRPr="006F2F0C">
          <w:rPr>
            <w:rFonts w:ascii="Arial" w:hAnsi="Arial" w:cs="Arial"/>
            <w:sz w:val="20"/>
            <w:szCs w:val="20"/>
          </w:rPr>
          <w:t xml:space="preserve">RNA-seq data </w:t>
        </w:r>
      </w:ins>
      <w:ins w:id="52" w:author="Irina Lazar" w:date="2020-11-09T12:28:00Z">
        <w:r>
          <w:rPr>
            <w:rFonts w:ascii="Arial" w:hAnsi="Arial" w:cs="Arial"/>
            <w:sz w:val="20"/>
            <w:szCs w:val="20"/>
          </w:rPr>
          <w:t>corresponds to</w:t>
        </w:r>
      </w:ins>
      <w:ins w:id="53" w:author="Irina Lazar" w:date="2020-11-09T11:32:00Z">
        <w:r w:rsidR="00900969" w:rsidRPr="006F2F0C">
          <w:rPr>
            <w:rFonts w:ascii="Arial" w:hAnsi="Arial" w:cs="Arial"/>
            <w:sz w:val="20"/>
            <w:szCs w:val="20"/>
          </w:rPr>
          <w:t xml:space="preserve"> literature PND14 and adult (PNW8) spermatogonial cells and  ATAC-seq data </w:t>
        </w:r>
      </w:ins>
      <w:ins w:id="54" w:author="Irina Lazar" w:date="2020-11-09T12:28:00Z">
        <w:r>
          <w:rPr>
            <w:rFonts w:ascii="Arial" w:hAnsi="Arial" w:cs="Arial"/>
            <w:sz w:val="20"/>
            <w:szCs w:val="20"/>
          </w:rPr>
          <w:t>to</w:t>
        </w:r>
      </w:ins>
      <w:ins w:id="55" w:author="Irina Lazar" w:date="2020-11-09T11:32:00Z">
        <w:r w:rsidR="00900969" w:rsidRPr="006F2F0C">
          <w:rPr>
            <w:rFonts w:ascii="Arial" w:hAnsi="Arial" w:cs="Arial"/>
            <w:sz w:val="20"/>
            <w:szCs w:val="20"/>
          </w:rPr>
          <w:t xml:space="preserve"> PND15 and adult (PNW20) spermatogonial cells, respectively</w:t>
        </w:r>
      </w:ins>
      <w:del w:id="56" w:author="Irina Lazar" w:date="2020-11-09T11:32:00Z">
        <w:r w:rsidR="0062776E" w:rsidRPr="0062776E" w:rsidDel="00900969">
          <w:rPr>
            <w:rFonts w:ascii="Arial" w:hAnsi="Arial" w:cs="Arial"/>
            <w:sz w:val="20"/>
            <w:szCs w:val="20"/>
          </w:rPr>
          <w:delText>Pup (PND15 ATAC-seq and PND14 RNA-seq samples) spermatogonia are represented in green and adult (PNW20 ATAC-seq and PNW8 RNA-seq samples) spermatogonia are represented in orange and overlaid in each of the IGV tracks</w:delText>
        </w:r>
      </w:del>
      <w:r w:rsidR="0062776E" w:rsidRPr="0062776E">
        <w:rPr>
          <w:rFonts w:ascii="Arial" w:hAnsi="Arial" w:cs="Arial"/>
          <w:sz w:val="20"/>
          <w:szCs w:val="20"/>
        </w:rPr>
        <w:t>;</w:t>
      </w:r>
    </w:p>
    <w:p w14:paraId="161F00D2" w14:textId="77777777" w:rsidR="0062776E" w:rsidRPr="0062776E" w:rsidRDefault="0062776E" w:rsidP="0062776E">
      <w:pPr>
        <w:numPr>
          <w:ilvl w:val="0"/>
          <w:numId w:val="10"/>
        </w:numPr>
        <w:spacing w:after="120" w:line="276" w:lineRule="auto"/>
        <w:jc w:val="both"/>
        <w:rPr>
          <w:rFonts w:ascii="Arial" w:hAnsi="Arial" w:cs="Arial"/>
          <w:sz w:val="20"/>
          <w:szCs w:val="20"/>
        </w:rPr>
      </w:pPr>
      <w:r w:rsidRPr="0062776E">
        <w:rPr>
          <w:rFonts w:ascii="Arial" w:hAnsi="Arial" w:cs="Arial"/>
          <w:sz w:val="20"/>
          <w:szCs w:val="20"/>
        </w:rPr>
        <w:t>Dot plots of top transcription factor motifs enriched in the more accessible L1 and ERV1 subtypes. Each dot corresponds to a motif. The differential gene expression of each transcription factor was extracted from the PNW8 vs PND14 comparison from literature RNA-seq, and is shown as color coded Log</w:t>
      </w:r>
      <w:r w:rsidRPr="0062776E">
        <w:rPr>
          <w:rFonts w:ascii="Arial" w:hAnsi="Arial" w:cs="Arial"/>
          <w:sz w:val="20"/>
          <w:szCs w:val="20"/>
          <w:vertAlign w:val="subscript"/>
        </w:rPr>
        <w:t>2</w:t>
      </w:r>
      <w:r w:rsidRPr="0062776E">
        <w:rPr>
          <w:rFonts w:ascii="Arial" w:hAnsi="Arial" w:cs="Arial"/>
          <w:sz w:val="20"/>
          <w:szCs w:val="20"/>
        </w:rPr>
        <w:t xml:space="preserve"> FC. The size of the dot indicates the HOMER motif enrichment adjusted </w:t>
      </w:r>
      <w:r w:rsidRPr="0062776E">
        <w:rPr>
          <w:rFonts w:ascii="Arial" w:hAnsi="Arial" w:cs="Arial"/>
          <w:i/>
          <w:sz w:val="20"/>
          <w:szCs w:val="20"/>
        </w:rPr>
        <w:t>P</w:t>
      </w:r>
      <w:r w:rsidRPr="0062776E">
        <w:rPr>
          <w:rFonts w:ascii="Arial" w:hAnsi="Arial" w:cs="Arial"/>
          <w:sz w:val="20"/>
          <w:szCs w:val="20"/>
        </w:rPr>
        <w:t xml:space="preserve"> of each motif. </w:t>
      </w:r>
    </w:p>
    <w:p w14:paraId="3277E8BA" w14:textId="3BF6D0A1" w:rsidR="0062776E" w:rsidRPr="00EF60D4" w:rsidRDefault="0062776E" w:rsidP="00EF60D4">
      <w:pPr>
        <w:spacing w:after="120" w:line="276" w:lineRule="auto"/>
        <w:ind w:left="357"/>
        <w:jc w:val="both"/>
        <w:rPr>
          <w:rFonts w:ascii="Arial" w:hAnsi="Arial" w:cs="Arial"/>
          <w:sz w:val="20"/>
          <w:szCs w:val="20"/>
        </w:rPr>
      </w:pPr>
    </w:p>
    <w:sectPr w:rsidR="0062776E" w:rsidRPr="00EF60D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sabelle Mansuy" w:date="2020-11-01T18:38:00Z" w:initials="M">
    <w:p w14:paraId="5F28AA33" w14:textId="400D6F7B" w:rsidR="0022766E" w:rsidRDefault="0022766E">
      <w:pPr>
        <w:pStyle w:val="CommentText"/>
      </w:pPr>
      <w:r>
        <w:rPr>
          <w:rStyle w:val="CommentReference"/>
        </w:rPr>
        <w:annotationRef/>
      </w:r>
      <w:r w:rsidR="005B1547">
        <w:t>This figure</w:t>
      </w:r>
      <w:r>
        <w:t xml:space="preserve"> need</w:t>
      </w:r>
      <w:r w:rsidR="005B1547">
        <w:t>s</w:t>
      </w:r>
      <w:r>
        <w:t xml:space="preserve"> to be improved as I suggested earlier</w:t>
      </w:r>
      <w:r w:rsidR="005B1547">
        <w:t>, its quality is poor</w:t>
      </w:r>
      <w:r>
        <w:t xml:space="preserve">. </w:t>
      </w:r>
      <w:r w:rsidR="005B1547">
        <w:t>Panels</w:t>
      </w:r>
      <w:r>
        <w:t xml:space="preserve"> are blurry, </w:t>
      </w:r>
      <w:r w:rsidR="005B1547">
        <w:t xml:space="preserve">font is too small, font should be the same for all panels and not a mixture, background in A and B should be white, black text should be </w:t>
      </w:r>
      <w:proofErr w:type="gramStart"/>
      <w:r w:rsidR="005B1547">
        <w:t>real</w:t>
      </w:r>
      <w:proofErr w:type="gramEnd"/>
      <w:r w:rsidR="005B1547">
        <w:t xml:space="preserve"> black and sharp, not greyish and low resolution</w:t>
      </w:r>
      <w:r>
        <w:t>. Have more contrasted colors, those in panel C are too light</w:t>
      </w:r>
      <w:r w:rsidR="005B1547">
        <w:t>.</w:t>
      </w:r>
    </w:p>
    <w:p w14:paraId="01088CC7" w14:textId="77777777" w:rsidR="005B1547" w:rsidRDefault="005B1547">
      <w:pPr>
        <w:pStyle w:val="CommentText"/>
      </w:pPr>
    </w:p>
    <w:p w14:paraId="5E7A9C92" w14:textId="3027E749" w:rsidR="005B1547" w:rsidRDefault="005B1547">
      <w:pPr>
        <w:pStyle w:val="CommentText"/>
      </w:pPr>
      <w:r>
        <w:t xml:space="preserve">Again, figures are essential so it’s extremely important to make an effort and have them of good quality. </w:t>
      </w:r>
    </w:p>
  </w:comment>
  <w:comment w:id="1" w:author="Tanwar  Deepak Kumar" w:date="2020-11-05T13:46:00Z" w:initials="TDK">
    <w:p w14:paraId="7FE2AB8A" w14:textId="51939B99" w:rsidR="00FD59BD" w:rsidRDefault="00FD59BD">
      <w:pPr>
        <w:pStyle w:val="CommentText"/>
      </w:pPr>
      <w:r>
        <w:rPr>
          <w:rStyle w:val="CommentReference"/>
        </w:rPr>
        <w:annotationRef/>
      </w:r>
      <w:r>
        <w:t>Fixed as per suggestions!</w:t>
      </w:r>
    </w:p>
  </w:comment>
  <w:comment w:id="2" w:author="Irina Lazar" w:date="2020-11-05T15:31:00Z" w:initials="ILC">
    <w:p w14:paraId="7CD773E3" w14:textId="35AE4949" w:rsidR="00223387" w:rsidRDefault="00223387">
      <w:pPr>
        <w:pStyle w:val="CommentText"/>
      </w:pPr>
      <w:r>
        <w:rPr>
          <w:rStyle w:val="CommentReference"/>
        </w:rPr>
        <w:annotationRef/>
      </w:r>
      <w:r>
        <w:t>Panels were blurry because Word probably automatically compresses the quality of the figures</w:t>
      </w:r>
      <w:r w:rsidR="00F3014B">
        <w:t xml:space="preserve"> if not set otherwise</w:t>
      </w:r>
    </w:p>
  </w:comment>
  <w:comment w:id="3" w:author="Isabelle Mansuy" w:date="2020-11-01T18:10:00Z" w:initials="M">
    <w:p w14:paraId="01D5B581" w14:textId="53BCC15E" w:rsidR="00E57E8E" w:rsidRDefault="00E57E8E">
      <w:pPr>
        <w:pStyle w:val="CommentText"/>
      </w:pPr>
      <w:r>
        <w:rPr>
          <w:rStyle w:val="CommentReference"/>
        </w:rPr>
        <w:annotationRef/>
      </w:r>
      <w:r>
        <w:t xml:space="preserve">Correct on the legend of the figure, convention is kb not kbp </w:t>
      </w:r>
    </w:p>
  </w:comment>
  <w:comment w:id="4" w:author="Tanwar  Deepak Kumar" w:date="2020-11-05T13:47:00Z" w:initials="TDK">
    <w:p w14:paraId="26C52615" w14:textId="4FEF797B" w:rsidR="00FD59BD" w:rsidRDefault="00FD59BD">
      <w:pPr>
        <w:pStyle w:val="CommentText"/>
      </w:pPr>
      <w:r>
        <w:rPr>
          <w:rStyle w:val="CommentReference"/>
        </w:rPr>
        <w:annotationRef/>
      </w:r>
      <w:r>
        <w:t>Done!</w:t>
      </w:r>
    </w:p>
  </w:comment>
  <w:comment w:id="5" w:author="Isabelle Mansuy" w:date="2020-11-01T18:33:00Z" w:initials="M">
    <w:p w14:paraId="001EE941" w14:textId="5C8DD961" w:rsidR="00E57E8E" w:rsidRDefault="00E57E8E">
      <w:pPr>
        <w:pStyle w:val="CommentText"/>
      </w:pPr>
      <w:r>
        <w:rPr>
          <w:rStyle w:val="CommentReference"/>
        </w:rPr>
        <w:annotationRef/>
      </w:r>
      <w:r>
        <w:t xml:space="preserve">Do not use this abbreviation, it’s important to minimize abbreviations in such manuscript because this can quickly become confusing. </w:t>
      </w:r>
    </w:p>
  </w:comment>
  <w:comment w:id="7" w:author="Isabelle Mansuy" w:date="2020-11-01T18:41:00Z" w:initials="M">
    <w:p w14:paraId="3CF4A9B5" w14:textId="796EB68E" w:rsidR="00E57E8E" w:rsidRDefault="00E57E8E">
      <w:pPr>
        <w:pStyle w:val="CommentText"/>
      </w:pPr>
      <w:r>
        <w:rPr>
          <w:rStyle w:val="CommentReference"/>
        </w:rPr>
        <w:annotationRef/>
      </w:r>
      <w:r>
        <w:t xml:space="preserve">Same comments as above, </w:t>
      </w:r>
    </w:p>
  </w:comment>
  <w:comment w:id="8" w:author="Isabelle Mansuy" w:date="2020-11-01T18:41:00Z" w:initials="M">
    <w:p w14:paraId="39F707C9" w14:textId="5C4114E6" w:rsidR="00E57E8E" w:rsidRDefault="00E57E8E">
      <w:pPr>
        <w:pStyle w:val="CommentText"/>
      </w:pPr>
      <w:r>
        <w:rPr>
          <w:rStyle w:val="CommentReference"/>
        </w:rPr>
        <w:annotationRef/>
      </w:r>
      <w:r>
        <w:t xml:space="preserve">Please be consistent, either mention early postnatal or juts postnatal everywhere but not a mixture of both. Please check the whole manuscript and correct. </w:t>
      </w:r>
    </w:p>
  </w:comment>
  <w:comment w:id="9" w:author="Isabelle Mansuy" w:date="2020-11-01T18:43:00Z" w:initials="M">
    <w:p w14:paraId="22A24871" w14:textId="155B9175" w:rsidR="00E57E8E" w:rsidRDefault="00E57E8E">
      <w:pPr>
        <w:pStyle w:val="CommentText"/>
      </w:pPr>
      <w:r>
        <w:rPr>
          <w:rStyle w:val="CommentReference"/>
        </w:rPr>
        <w:annotationRef/>
      </w:r>
      <w:r>
        <w:t xml:space="preserve">Be consistent and indicate n also in Figure 1. </w:t>
      </w:r>
    </w:p>
  </w:comment>
  <w:comment w:id="10" w:author="Isabelle Mansuy" w:date="2020-11-01T18:43:00Z" w:initials="M">
    <w:p w14:paraId="74E7F471" w14:textId="7946124B" w:rsidR="00E57E8E" w:rsidRDefault="00E57E8E">
      <w:pPr>
        <w:pStyle w:val="CommentText"/>
      </w:pPr>
      <w:r>
        <w:rPr>
          <w:rStyle w:val="CommentReference"/>
        </w:rPr>
        <w:annotationRef/>
      </w:r>
      <w:r>
        <w:t>Same here, be consistent across figures</w:t>
      </w:r>
    </w:p>
  </w:comment>
  <w:comment w:id="11" w:author="Isabelle Mansuy" w:date="2020-11-01T18:44:00Z" w:initials="M">
    <w:p w14:paraId="17BCC9DC" w14:textId="3ED0726A" w:rsidR="007868F5" w:rsidRDefault="007868F5">
      <w:pPr>
        <w:pStyle w:val="CommentText"/>
      </w:pPr>
      <w:r>
        <w:rPr>
          <w:rStyle w:val="CommentReference"/>
        </w:rPr>
        <w:annotationRef/>
      </w:r>
      <w:r>
        <w:t xml:space="preserve">Please be consistent, mention PND before adult. </w:t>
      </w:r>
    </w:p>
  </w:comment>
  <w:comment w:id="12" w:author="Isabelle Mansuy" w:date="2020-11-01T18:45:00Z" w:initials="M">
    <w:p w14:paraId="73F163D7" w14:textId="77777777" w:rsidR="008F4DD5" w:rsidRDefault="008F4DD5" w:rsidP="008F4DD5">
      <w:pPr>
        <w:pStyle w:val="CommentText"/>
      </w:pPr>
      <w:r>
        <w:rPr>
          <w:rStyle w:val="CommentReference"/>
        </w:rPr>
        <w:annotationRef/>
      </w:r>
      <w:r>
        <w:t>No abbreviations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7A9C92" w15:done="0"/>
  <w15:commentEx w15:paraId="7FE2AB8A" w15:paraIdParent="5E7A9C92" w15:done="0"/>
  <w15:commentEx w15:paraId="7CD773E3" w15:paraIdParent="5E7A9C92" w15:done="0"/>
  <w15:commentEx w15:paraId="01D5B581" w15:done="1"/>
  <w15:commentEx w15:paraId="26C52615" w15:paraIdParent="01D5B581" w15:done="1"/>
  <w15:commentEx w15:paraId="001EE941" w15:done="1"/>
  <w15:commentEx w15:paraId="3CF4A9B5" w15:done="0"/>
  <w15:commentEx w15:paraId="39F707C9" w15:done="1"/>
  <w15:commentEx w15:paraId="22A24871" w15:done="1"/>
  <w15:commentEx w15:paraId="74E7F471" w15:done="1"/>
  <w15:commentEx w15:paraId="17BCC9DC" w15:done="0"/>
  <w15:commentEx w15:paraId="73F163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996A" w16cex:dateUtc="2020-11-05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7A9C92" w16cid:durableId="234CE7E2"/>
  <w16cid:commentId w16cid:paraId="7FE2AB8A" w16cid:durableId="234E80BC"/>
  <w16cid:commentId w16cid:paraId="7CD773E3" w16cid:durableId="234E996A"/>
  <w16cid:commentId w16cid:paraId="01D5B581" w16cid:durableId="234CE7E3"/>
  <w16cid:commentId w16cid:paraId="26C52615" w16cid:durableId="234E80F2"/>
  <w16cid:commentId w16cid:paraId="001EE941" w16cid:durableId="234CE7E4"/>
  <w16cid:commentId w16cid:paraId="3CF4A9B5" w16cid:durableId="234CE7E7"/>
  <w16cid:commentId w16cid:paraId="39F707C9" w16cid:durableId="234CE7E8"/>
  <w16cid:commentId w16cid:paraId="22A24871" w16cid:durableId="234CE7E9"/>
  <w16cid:commentId w16cid:paraId="74E7F471" w16cid:durableId="234CE7EA"/>
  <w16cid:commentId w16cid:paraId="17BCC9DC" w16cid:durableId="234CE7EB"/>
  <w16cid:commentId w16cid:paraId="73F163D7" w16cid:durableId="234E95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Noto Sans CJK SC">
    <w:altName w:val="Cambria"/>
    <w:panose1 w:val="020B0604020202020204"/>
    <w:charset w:val="00"/>
    <w:family w:val="roman"/>
    <w:pitch w:val="default"/>
  </w:font>
  <w:font w:name="Lohit Devanagari">
    <w:altName w:val="Cambria"/>
    <w:panose1 w:val="020B0604020202020204"/>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7141D"/>
    <w:multiLevelType w:val="multilevel"/>
    <w:tmpl w:val="BA920928"/>
    <w:lvl w:ilvl="0">
      <w:start w:val="1"/>
      <w:numFmt w:val="upperLetter"/>
      <w:lvlText w:val="(%1)"/>
      <w:lvlJc w:val="left"/>
      <w:pPr>
        <w:ind w:left="720" w:hanging="360"/>
      </w:pPr>
      <w:rPr>
        <w:rFonts w:ascii="Arial"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E37151"/>
    <w:multiLevelType w:val="multilevel"/>
    <w:tmpl w:val="301C1B3A"/>
    <w:lvl w:ilvl="0">
      <w:start w:val="1"/>
      <w:numFmt w:val="upperLetter"/>
      <w:lvlText w:val="(%1)"/>
      <w:lvlJc w:val="left"/>
      <w:pPr>
        <w:ind w:left="720" w:hanging="360"/>
      </w:pPr>
      <w:rPr>
        <w:rFonts w:ascii="Arial" w:hAnsi="Arial" w:cs="Arial"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3601A7"/>
    <w:multiLevelType w:val="multilevel"/>
    <w:tmpl w:val="5114FCA2"/>
    <w:lvl w:ilvl="0">
      <w:start w:val="1"/>
      <w:numFmt w:val="upperLetter"/>
      <w:lvlText w:val="(%1)"/>
      <w:lvlJc w:val="left"/>
      <w:pPr>
        <w:ind w:left="720" w:hanging="360"/>
      </w:pPr>
      <w:rPr>
        <w:rFonts w:ascii="Arial"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E06B5C"/>
    <w:multiLevelType w:val="multilevel"/>
    <w:tmpl w:val="BEA666C2"/>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15:restartNumberingAfterBreak="0">
    <w:nsid w:val="21A85F99"/>
    <w:multiLevelType w:val="multilevel"/>
    <w:tmpl w:val="A79CA098"/>
    <w:lvl w:ilvl="0">
      <w:start w:val="1"/>
      <w:numFmt w:val="upperLetter"/>
      <w:lvlText w:val="(%1)"/>
      <w:lvlJc w:val="left"/>
      <w:pPr>
        <w:ind w:left="720" w:hanging="360"/>
      </w:pPr>
      <w:rPr>
        <w:rFonts w:ascii="Arial"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DC1BE6"/>
    <w:multiLevelType w:val="multilevel"/>
    <w:tmpl w:val="66346E20"/>
    <w:lvl w:ilvl="0">
      <w:start w:val="1"/>
      <w:numFmt w:val="upperLetter"/>
      <w:lvlText w:val="(%1)"/>
      <w:lvlJc w:val="left"/>
      <w:pPr>
        <w:ind w:left="720" w:hanging="360"/>
      </w:pPr>
      <w:rPr>
        <w:rFonts w:ascii="Arial"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036E9E"/>
    <w:multiLevelType w:val="multilevel"/>
    <w:tmpl w:val="06DEE14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06686B"/>
    <w:multiLevelType w:val="multilevel"/>
    <w:tmpl w:val="4A3E88F2"/>
    <w:lvl w:ilvl="0">
      <w:start w:val="1"/>
      <w:numFmt w:val="upperLetter"/>
      <w:lvlText w:val="(%1)"/>
      <w:lvlJc w:val="left"/>
      <w:pPr>
        <w:ind w:left="720" w:hanging="360"/>
      </w:pPr>
      <w:rPr>
        <w:rFonts w:ascii="Arial" w:hAnsi="Arial"/>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94160E8"/>
    <w:multiLevelType w:val="multilevel"/>
    <w:tmpl w:val="F93032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055688B"/>
    <w:multiLevelType w:val="hybridMultilevel"/>
    <w:tmpl w:val="C72A5238"/>
    <w:lvl w:ilvl="0" w:tplc="9AA2C0A8">
      <w:start w:val="3"/>
      <w:numFmt w:val="upperLetter"/>
      <w:lvlText w:val="%1."/>
      <w:lvlJc w:val="left"/>
      <w:pPr>
        <w:tabs>
          <w:tab w:val="num" w:pos="720"/>
        </w:tabs>
        <w:ind w:left="720" w:hanging="360"/>
      </w:pPr>
    </w:lvl>
    <w:lvl w:ilvl="1" w:tplc="84AAD0B8" w:tentative="1">
      <w:start w:val="1"/>
      <w:numFmt w:val="upperLetter"/>
      <w:lvlText w:val="%2."/>
      <w:lvlJc w:val="left"/>
      <w:pPr>
        <w:tabs>
          <w:tab w:val="num" w:pos="1440"/>
        </w:tabs>
        <w:ind w:left="1440" w:hanging="360"/>
      </w:pPr>
    </w:lvl>
    <w:lvl w:ilvl="2" w:tplc="A7D08376" w:tentative="1">
      <w:start w:val="1"/>
      <w:numFmt w:val="upperLetter"/>
      <w:lvlText w:val="%3."/>
      <w:lvlJc w:val="left"/>
      <w:pPr>
        <w:tabs>
          <w:tab w:val="num" w:pos="2160"/>
        </w:tabs>
        <w:ind w:left="2160" w:hanging="360"/>
      </w:pPr>
    </w:lvl>
    <w:lvl w:ilvl="3" w:tplc="A3AEE89E" w:tentative="1">
      <w:start w:val="1"/>
      <w:numFmt w:val="upperLetter"/>
      <w:lvlText w:val="%4."/>
      <w:lvlJc w:val="left"/>
      <w:pPr>
        <w:tabs>
          <w:tab w:val="num" w:pos="2880"/>
        </w:tabs>
        <w:ind w:left="2880" w:hanging="360"/>
      </w:pPr>
    </w:lvl>
    <w:lvl w:ilvl="4" w:tplc="8DDCDAFC" w:tentative="1">
      <w:start w:val="1"/>
      <w:numFmt w:val="upperLetter"/>
      <w:lvlText w:val="%5."/>
      <w:lvlJc w:val="left"/>
      <w:pPr>
        <w:tabs>
          <w:tab w:val="num" w:pos="3600"/>
        </w:tabs>
        <w:ind w:left="3600" w:hanging="360"/>
      </w:pPr>
    </w:lvl>
    <w:lvl w:ilvl="5" w:tplc="AFDC1C54" w:tentative="1">
      <w:start w:val="1"/>
      <w:numFmt w:val="upperLetter"/>
      <w:lvlText w:val="%6."/>
      <w:lvlJc w:val="left"/>
      <w:pPr>
        <w:tabs>
          <w:tab w:val="num" w:pos="4320"/>
        </w:tabs>
        <w:ind w:left="4320" w:hanging="360"/>
      </w:pPr>
    </w:lvl>
    <w:lvl w:ilvl="6" w:tplc="2BB06F16" w:tentative="1">
      <w:start w:val="1"/>
      <w:numFmt w:val="upperLetter"/>
      <w:lvlText w:val="%7."/>
      <w:lvlJc w:val="left"/>
      <w:pPr>
        <w:tabs>
          <w:tab w:val="num" w:pos="5040"/>
        </w:tabs>
        <w:ind w:left="5040" w:hanging="360"/>
      </w:pPr>
    </w:lvl>
    <w:lvl w:ilvl="7" w:tplc="298894EA" w:tentative="1">
      <w:start w:val="1"/>
      <w:numFmt w:val="upperLetter"/>
      <w:lvlText w:val="%8."/>
      <w:lvlJc w:val="left"/>
      <w:pPr>
        <w:tabs>
          <w:tab w:val="num" w:pos="5760"/>
        </w:tabs>
        <w:ind w:left="5760" w:hanging="360"/>
      </w:pPr>
    </w:lvl>
    <w:lvl w:ilvl="8" w:tplc="4EBA9858" w:tentative="1">
      <w:start w:val="1"/>
      <w:numFmt w:val="upperLetter"/>
      <w:lvlText w:val="%9."/>
      <w:lvlJc w:val="left"/>
      <w:pPr>
        <w:tabs>
          <w:tab w:val="num" w:pos="6480"/>
        </w:tabs>
        <w:ind w:left="6480" w:hanging="360"/>
      </w:pPr>
    </w:lvl>
  </w:abstractNum>
  <w:abstractNum w:abstractNumId="10" w15:restartNumberingAfterBreak="0">
    <w:nsid w:val="6A285845"/>
    <w:multiLevelType w:val="multilevel"/>
    <w:tmpl w:val="E5B04B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FA07EF3"/>
    <w:multiLevelType w:val="multilevel"/>
    <w:tmpl w:val="230AC2CE"/>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11"/>
  </w:num>
  <w:num w:numId="3">
    <w:abstractNumId w:val="10"/>
  </w:num>
  <w:num w:numId="4">
    <w:abstractNumId w:val="8"/>
  </w:num>
  <w:num w:numId="5">
    <w:abstractNumId w:val="7"/>
  </w:num>
  <w:num w:numId="6">
    <w:abstractNumId w:val="2"/>
  </w:num>
  <w:num w:numId="7">
    <w:abstractNumId w:val="4"/>
  </w:num>
  <w:num w:numId="8">
    <w:abstractNumId w:val="5"/>
  </w:num>
  <w:num w:numId="9">
    <w:abstractNumId w:val="1"/>
  </w:num>
  <w:num w:numId="10">
    <w:abstractNumId w:val="6"/>
  </w:num>
  <w:num w:numId="11">
    <w:abstractNumId w:val="9"/>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nwar  Deepak Kumar">
    <w15:presenceInfo w15:providerId="AD" w15:userId="S::tanward@ethz.ch::b4667316-7e90-4a0d-b5d8-05bfe8c4dd13"/>
  </w15:person>
  <w15:person w15:author="Irina Lazar">
    <w15:presenceInfo w15:providerId="None" w15:userId="Irina Laz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E7"/>
    <w:rsid w:val="000056B0"/>
    <w:rsid w:val="00026BC7"/>
    <w:rsid w:val="00077CCE"/>
    <w:rsid w:val="000A1D1B"/>
    <w:rsid w:val="000D11DE"/>
    <w:rsid w:val="001D4DFD"/>
    <w:rsid w:val="001E3A63"/>
    <w:rsid w:val="00203A43"/>
    <w:rsid w:val="00223387"/>
    <w:rsid w:val="00224C48"/>
    <w:rsid w:val="0022766E"/>
    <w:rsid w:val="00243C46"/>
    <w:rsid w:val="00250CAF"/>
    <w:rsid w:val="00254432"/>
    <w:rsid w:val="002B691A"/>
    <w:rsid w:val="003921CD"/>
    <w:rsid w:val="003D1B0A"/>
    <w:rsid w:val="003E4967"/>
    <w:rsid w:val="00414DDE"/>
    <w:rsid w:val="00440EBE"/>
    <w:rsid w:val="004D77DE"/>
    <w:rsid w:val="005057D4"/>
    <w:rsid w:val="005A0187"/>
    <w:rsid w:val="005A44A6"/>
    <w:rsid w:val="005B1547"/>
    <w:rsid w:val="005C12AE"/>
    <w:rsid w:val="0062776E"/>
    <w:rsid w:val="00664BE3"/>
    <w:rsid w:val="006741A5"/>
    <w:rsid w:val="006839A9"/>
    <w:rsid w:val="006C71A1"/>
    <w:rsid w:val="00717FB4"/>
    <w:rsid w:val="0077052F"/>
    <w:rsid w:val="007868F5"/>
    <w:rsid w:val="00792032"/>
    <w:rsid w:val="0080134A"/>
    <w:rsid w:val="008337AF"/>
    <w:rsid w:val="008365D0"/>
    <w:rsid w:val="008A5D81"/>
    <w:rsid w:val="008B0D64"/>
    <w:rsid w:val="008C6412"/>
    <w:rsid w:val="008F4DD5"/>
    <w:rsid w:val="00900969"/>
    <w:rsid w:val="00905803"/>
    <w:rsid w:val="0095044D"/>
    <w:rsid w:val="00961BBF"/>
    <w:rsid w:val="00962E8F"/>
    <w:rsid w:val="009D7908"/>
    <w:rsid w:val="00A77F55"/>
    <w:rsid w:val="00CD055E"/>
    <w:rsid w:val="00CD2FE7"/>
    <w:rsid w:val="00CE1D6E"/>
    <w:rsid w:val="00D242AE"/>
    <w:rsid w:val="00D446C9"/>
    <w:rsid w:val="00DA6402"/>
    <w:rsid w:val="00DC242E"/>
    <w:rsid w:val="00DF2CFA"/>
    <w:rsid w:val="00E57E8E"/>
    <w:rsid w:val="00EC7C46"/>
    <w:rsid w:val="00EE7C19"/>
    <w:rsid w:val="00EF60D4"/>
    <w:rsid w:val="00F174F6"/>
    <w:rsid w:val="00F3014B"/>
    <w:rsid w:val="00F53627"/>
    <w:rsid w:val="00FD0849"/>
    <w:rsid w:val="00FD59BD"/>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A161A0"/>
  <w15:docId w15:val="{FF0AB0D2-F0BC-DC41-8F0D-FAE3CB39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uz-Cyrl-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FE7"/>
    <w:rPr>
      <w:rFonts w:ascii="Liberation Serif" w:eastAsia="Noto Sans CJK SC" w:hAnsi="Liberation Serif" w:cs="Lohit Devanagari"/>
      <w:kern w:val="2"/>
      <w:lang w:val="en-US" w:eastAsia="zh-CN" w:bidi="hi-IN"/>
    </w:rPr>
  </w:style>
  <w:style w:type="paragraph" w:styleId="Heading3">
    <w:name w:val="heading 3"/>
    <w:basedOn w:val="Normal"/>
    <w:next w:val="Normal"/>
    <w:link w:val="Heading3Char"/>
    <w:autoRedefine/>
    <w:uiPriority w:val="9"/>
    <w:unhideWhenUsed/>
    <w:qFormat/>
    <w:rsid w:val="001D4DFD"/>
    <w:pPr>
      <w:keepNext/>
      <w:keepLines/>
      <w:numPr>
        <w:numId w:val="2"/>
      </w:numPr>
      <w:spacing w:before="120" w:after="120"/>
      <w:ind w:left="1440" w:hanging="360"/>
      <w:outlineLvl w:val="2"/>
    </w:pPr>
    <w:rPr>
      <w:rFonts w:ascii="Arial" w:eastAsiaTheme="majorEastAsia" w:hAnsi="Arial" w:cstheme="majorBidi"/>
      <w:color w:val="1F3763" w:themeColor="accent1" w:themeShade="7F"/>
    </w:rPr>
  </w:style>
  <w:style w:type="paragraph" w:styleId="Heading4">
    <w:name w:val="heading 4"/>
    <w:basedOn w:val="Normal"/>
    <w:next w:val="Normal"/>
    <w:link w:val="Heading4Char"/>
    <w:uiPriority w:val="9"/>
    <w:unhideWhenUsed/>
    <w:qFormat/>
    <w:rsid w:val="002B691A"/>
    <w:pPr>
      <w:keepNext/>
      <w:keepLines/>
      <w:numPr>
        <w:ilvl w:val="3"/>
        <w:numId w:val="4"/>
      </w:numPr>
      <w:spacing w:before="120" w:after="120"/>
      <w:outlineLvl w:val="3"/>
    </w:pPr>
    <w:rPr>
      <w:rFonts w:ascii="Arial" w:eastAsiaTheme="majorEastAsia" w:hAnsi="Arial"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4DFD"/>
    <w:rPr>
      <w:rFonts w:ascii="Arial" w:eastAsiaTheme="majorEastAsia" w:hAnsi="Arial" w:cstheme="majorBidi"/>
      <w:color w:val="1F3763" w:themeColor="accent1" w:themeShade="7F"/>
      <w:lang w:val="en-US"/>
    </w:rPr>
  </w:style>
  <w:style w:type="character" w:customStyle="1" w:styleId="Heading4Char">
    <w:name w:val="Heading 4 Char"/>
    <w:basedOn w:val="DefaultParagraphFont"/>
    <w:link w:val="Heading4"/>
    <w:uiPriority w:val="9"/>
    <w:rsid w:val="002B691A"/>
    <w:rPr>
      <w:rFonts w:ascii="Arial" w:eastAsiaTheme="majorEastAsia" w:hAnsi="Arial" w:cstheme="majorBidi"/>
      <w:iCs/>
      <w:color w:val="2F5496" w:themeColor="accent1" w:themeShade="BF"/>
    </w:rPr>
  </w:style>
  <w:style w:type="paragraph" w:styleId="ListParagraph">
    <w:name w:val="List Paragraph"/>
    <w:basedOn w:val="Normal"/>
    <w:qFormat/>
    <w:rsid w:val="0077052F"/>
    <w:pPr>
      <w:spacing w:before="240"/>
      <w:ind w:left="720"/>
      <w:contextualSpacing/>
    </w:pPr>
  </w:style>
  <w:style w:type="paragraph" w:styleId="BalloonText">
    <w:name w:val="Balloon Text"/>
    <w:basedOn w:val="Normal"/>
    <w:link w:val="BalloonTextChar"/>
    <w:uiPriority w:val="99"/>
    <w:semiHidden/>
    <w:unhideWhenUsed/>
    <w:rsid w:val="006741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1A5"/>
    <w:rPr>
      <w:rFonts w:ascii="Lucida Grande" w:eastAsia="Noto Sans CJK SC" w:hAnsi="Lucida Grande" w:cs="Lucida Grande"/>
      <w:kern w:val="2"/>
      <w:sz w:val="18"/>
      <w:szCs w:val="18"/>
      <w:lang w:val="en-US" w:eastAsia="zh-CN" w:bidi="hi-IN"/>
    </w:rPr>
  </w:style>
  <w:style w:type="character" w:styleId="CommentReference">
    <w:name w:val="annotation reference"/>
    <w:basedOn w:val="DefaultParagraphFont"/>
    <w:uiPriority w:val="99"/>
    <w:semiHidden/>
    <w:unhideWhenUsed/>
    <w:rsid w:val="006741A5"/>
    <w:rPr>
      <w:sz w:val="18"/>
      <w:szCs w:val="18"/>
    </w:rPr>
  </w:style>
  <w:style w:type="paragraph" w:styleId="CommentText">
    <w:name w:val="annotation text"/>
    <w:basedOn w:val="Normal"/>
    <w:link w:val="CommentTextChar"/>
    <w:uiPriority w:val="99"/>
    <w:semiHidden/>
    <w:unhideWhenUsed/>
    <w:rsid w:val="006741A5"/>
  </w:style>
  <w:style w:type="character" w:customStyle="1" w:styleId="CommentTextChar">
    <w:name w:val="Comment Text Char"/>
    <w:basedOn w:val="DefaultParagraphFont"/>
    <w:link w:val="CommentText"/>
    <w:uiPriority w:val="99"/>
    <w:semiHidden/>
    <w:rsid w:val="006741A5"/>
    <w:rPr>
      <w:rFonts w:ascii="Liberation Serif" w:eastAsia="Noto Sans CJK SC" w:hAnsi="Liberation Serif" w:cs="Lohit Devanagari"/>
      <w:kern w:val="2"/>
      <w:lang w:val="en-US" w:eastAsia="zh-CN" w:bidi="hi-IN"/>
    </w:rPr>
  </w:style>
  <w:style w:type="paragraph" w:styleId="CommentSubject">
    <w:name w:val="annotation subject"/>
    <w:basedOn w:val="CommentText"/>
    <w:next w:val="CommentText"/>
    <w:link w:val="CommentSubjectChar"/>
    <w:uiPriority w:val="99"/>
    <w:semiHidden/>
    <w:unhideWhenUsed/>
    <w:rsid w:val="006741A5"/>
    <w:rPr>
      <w:b/>
      <w:bCs/>
      <w:sz w:val="20"/>
      <w:szCs w:val="20"/>
    </w:rPr>
  </w:style>
  <w:style w:type="character" w:customStyle="1" w:styleId="CommentSubjectChar">
    <w:name w:val="Comment Subject Char"/>
    <w:basedOn w:val="CommentTextChar"/>
    <w:link w:val="CommentSubject"/>
    <w:uiPriority w:val="99"/>
    <w:semiHidden/>
    <w:rsid w:val="006741A5"/>
    <w:rPr>
      <w:rFonts w:ascii="Liberation Serif" w:eastAsia="Noto Sans CJK SC" w:hAnsi="Liberation Serif" w:cs="Lohit Devanagari"/>
      <w:b/>
      <w:bCs/>
      <w:kern w:val="2"/>
      <w:sz w:val="20"/>
      <w:szCs w:val="20"/>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687797">
      <w:bodyDiv w:val="1"/>
      <w:marLeft w:val="0"/>
      <w:marRight w:val="0"/>
      <w:marTop w:val="0"/>
      <w:marBottom w:val="0"/>
      <w:divBdr>
        <w:top w:val="none" w:sz="0" w:space="0" w:color="auto"/>
        <w:left w:val="none" w:sz="0" w:space="0" w:color="auto"/>
        <w:bottom w:val="none" w:sz="0" w:space="0" w:color="auto"/>
        <w:right w:val="none" w:sz="0" w:space="0" w:color="auto"/>
      </w:divBdr>
      <w:divsChild>
        <w:div w:id="138078152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Lazar</dc:creator>
  <cp:keywords/>
  <dc:description/>
  <cp:lastModifiedBy>Irina Lazar</cp:lastModifiedBy>
  <cp:revision>12</cp:revision>
  <dcterms:created xsi:type="dcterms:W3CDTF">2020-11-04T08:15:00Z</dcterms:created>
  <dcterms:modified xsi:type="dcterms:W3CDTF">2020-11-09T11:29:00Z</dcterms:modified>
</cp:coreProperties>
</file>