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0F6E56"/>
          <w:sz w:val="56"/>
          <w:szCs w:val="56"/>
        </w:rPr>
        <w:t xml:space="preserve">STREAMPAY</w:t>
      </w:r>
    </w:p>
    <w:p>
      <w:pPr>
        <w:spacing w:after="80" w:before="0"/>
      </w:pPr>
      <w:r>
        <w:rPr>
          <w:rFonts w:ascii="Arial" w:cs="Arial" w:eastAsia="Arial" w:hAnsi="Arial"/>
          <w:b w:val="false"/>
          <w:bCs w:val="false"/>
          <w:color w:val="4B5563"/>
          <w:sz w:val="24"/>
          <w:szCs w:val="24"/>
        </w:rPr>
        <w:t xml:space="preserve">Continuous Settlement Infrastructure for the American Workforce</w:t>
      </w:r>
    </w:p>
    <w:p>
      <w:pPr>
        <w:pBdr>
          <w:bottom w:val="single" w:color="0F6E56" w:sz="8" w:space="10"/>
        </w:pBdr>
        <w:spacing w:after="0" w:before="0"/>
      </w:pPr>
      <w:r>
        <w:rPr>
          <w:rFonts w:ascii="Arial" w:cs="Arial" w:eastAsia="Arial" w:hAnsi="Arial"/>
          <w:b/>
          <w:bCs/>
          <w:color w:val="0F6E56"/>
          <w:sz w:val="18"/>
          <w:szCs w:val="18"/>
        </w:rPr>
        <w:t xml:space="preserve">Toledo Holdings · Library Labs</w:t>
      </w:r>
      <w:r>
        <w:rPr>
          <w:rFonts w:ascii="Arial" w:cs="Arial" w:eastAsia="Arial" w:hAnsi="Arial"/>
          <w:b w:val="false"/>
          <w:bCs w:val="false"/>
          <w:color w:val="4B5563"/>
          <w:sz w:val="18"/>
          <w:szCs w:val="18"/>
        </w:rPr>
        <w:t xml:space="preserve">     |     Technical Brief     |     May 2026</w:t>
      </w:r>
    </w:p>
    <w:p>
      <w:pPr>
        <w:spacing w:after="0" w:before="80"/>
      </w:pPr>
      <w:r>
        <w:rPr>
          <w:rFonts w:ascii="Arial" w:cs="Arial" w:eastAsia="Arial" w:hAnsi="Arial"/>
          <w:b w:val="false"/>
          <w:bCs w:val="false"/>
          <w:color w:val="111827"/>
          <w:sz w:val="20"/>
          <w:szCs w:val="20"/>
        </w:rPr>
        <w:t xml:space="preserve"/>
      </w:r>
    </w:p>
    <w:p>
      <w:pPr>
        <w:pStyle w:val="Heading1"/>
      </w:pPr>
      <w:r>
        <w:t xml:space="preserve">The Problem</w:t>
      </w:r>
    </w:p>
    <w:p>
      <w:pPr>
        <w:spacing w:after="140" w:before="0"/>
      </w:pPr>
      <w:r>
        <w:rPr>
          <w:rFonts w:ascii="Arial" w:cs="Arial" w:eastAsia="Arial" w:hAnsi="Arial"/>
          <w:b/>
          <w:bCs/>
          <w:color w:val="111827"/>
          <w:sz w:val="20"/>
          <w:szCs w:val="20"/>
        </w:rPr>
        <w:t xml:space="preserve">60% of Americans live paycheck to paycheck. </w:t>
      </w:r>
      <w:r>
        <w:rPr>
          <w:rFonts w:ascii="Arial" w:cs="Arial" w:eastAsia="Arial" w:hAnsi="Arial"/>
          <w:b w:val="false"/>
          <w:bCs w:val="false"/>
          <w:color w:val="111827"/>
          <w:sz w:val="20"/>
          <w:szCs w:val="20"/>
        </w:rPr>
        <w:t xml:space="preserve">That is not a budgeting failure — it is an infrastructure failure. Bi-weekly ACH payroll was engineered in the 1970s for paper checks and batch processing. The system that resulted functionally fails the majority of the American workforce every cycle, by design. No government, no investor, no engineer would approve any other critical infrastructure with a 60% failure rate. Yet the entire U.S. consumer economy is built on top of one.</w:t>
      </w:r>
    </w:p>
    <w:p>
      <w:pPr>
        <w:pStyle w:val="Heading1"/>
      </w:pPr>
      <w:r>
        <w:t xml:space="preserve">The Solution</w:t>
      </w:r>
    </w:p>
    <w:p>
      <w:pPr>
        <w:spacing w:after="140" w:before="0"/>
      </w:pPr>
      <w:r>
        <w:rPr>
          <w:rFonts w:ascii="Arial" w:cs="Arial" w:eastAsia="Arial" w:hAnsi="Arial"/>
          <w:b w:val="false"/>
          <w:bCs w:val="false"/>
          <w:color w:val="111827"/>
          <w:sz w:val="20"/>
          <w:szCs w:val="20"/>
        </w:rPr>
        <w:t xml:space="preserve">StreamPay converts compensation from a batch event into a </w:t>
      </w:r>
      <w:r>
        <w:rPr>
          <w:rFonts w:ascii="Arial" w:cs="Arial" w:eastAsia="Arial" w:hAnsi="Arial"/>
          <w:b/>
          <w:bCs/>
          <w:color w:val="111827"/>
          <w:sz w:val="20"/>
          <w:szCs w:val="20"/>
        </w:rPr>
        <w:t xml:space="preserve">continuous flow rate.</w:t>
      </w:r>
      <w:r>
        <w:rPr>
          <w:rFonts w:ascii="Arial" w:cs="Arial" w:eastAsia="Arial" w:hAnsi="Arial"/>
          <w:b w:val="false"/>
          <w:bCs w:val="false"/>
          <w:color w:val="111827"/>
          <w:sz w:val="20"/>
          <w:szCs w:val="20"/>
        </w:rPr>
        <w:t xml:space="preserve"> Wages accrue per second and settle in real time on the XRP Ledger at $0.0002 per transaction with 3–5 second finality. On the spending side, x402 — the HTTP-native payment protocol backed by Coinbase, Cloudflare, and Google — enables consumption to move at the same speed as earning. The result is a complete financial operating system: money flows in per minute, flows out per use. No batch. No float. No 14-day gap.</w:t>
      </w:r>
    </w:p>
    <w:p>
      <w:pPr>
        <w:pStyle w:val="Heading1"/>
      </w:pPr>
      <w:r>
        <w:t xml:space="preserve">Protocol Architecture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4500"/>
        <w:gridCol w:w="2300"/>
      </w:tblGrid>
      <w:tr>
        <w:trPr>
          <w:tblHeader/>
        </w:trPr>
        <w:tc>
          <w:tcPr>
            <w:tcW w:type="dxa" w:w="1700"/>
            <w:tcBorders>
              <w:top w:val="single" w:color="CCCCCC" w:sz="1"/>
              <w:left w:val="single" w:color="CCCCCC" w:sz="1"/>
              <w:bottom w:val="single" w:color="CCCCCC" w:sz="1"/>
              <w:right w:val="single" w:color="CCCCCC" w:sz="1"/>
            </w:tcBorders>
            <w:shd w:fill="0F6E56" w:val="clear"/>
            <w:tcMar>
              <w:top w:type="dxa" w:w="72"/>
              <w:left w:type="dxa" w:w="120"/>
              <w:bottom w:type="dxa" w:w="72"/>
              <w:right w:type="dxa" w:w="120"/>
            </w:tcMar>
          </w:tcPr>
          <w:p>
            <w:r>
              <w:rPr>
                <w:rFonts w:ascii="Arial" w:cs="Arial" w:eastAsia="Arial" w:hAnsi="Arial"/>
                <w:b/>
                <w:bCs/>
                <w:color w:val="FFFFFF"/>
                <w:sz w:val="18"/>
                <w:szCs w:val="18"/>
              </w:rPr>
              <w:t xml:space="preserve">Layer</w:t>
            </w:r>
          </w:p>
        </w:tc>
        <w:tc>
          <w:tcPr>
            <w:tcW w:type="dxa" w:w="2300"/>
            <w:tcBorders>
              <w:top w:val="single" w:color="CCCCCC" w:sz="1"/>
              <w:left w:val="single" w:color="CCCCCC" w:sz="1"/>
              <w:bottom w:val="single" w:color="CCCCCC" w:sz="1"/>
              <w:right w:val="single" w:color="CCCCCC" w:sz="1"/>
            </w:tcBorders>
            <w:shd w:fill="0F6E56" w:val="clear"/>
            <w:tcMar>
              <w:top w:type="dxa" w:w="72"/>
              <w:left w:type="dxa" w:w="120"/>
              <w:bottom w:type="dxa" w:w="72"/>
              <w:right w:type="dxa" w:w="120"/>
            </w:tcMar>
          </w:tcPr>
          <w:p>
            <w:r>
              <w:rPr>
                <w:rFonts w:ascii="Arial" w:cs="Arial" w:eastAsia="Arial" w:hAnsi="Arial"/>
                <w:b/>
                <w:bCs/>
                <w:color w:val="FFFFFF"/>
                <w:sz w:val="18"/>
                <w:szCs w:val="18"/>
              </w:rPr>
              <w:t xml:space="preserve">Protocol</w:t>
            </w:r>
          </w:p>
        </w:tc>
        <w:tc>
          <w:tcPr>
            <w:tcW w:type="dxa" w:w="4500"/>
            <w:tcBorders>
              <w:top w:val="single" w:color="CCCCCC" w:sz="1"/>
              <w:left w:val="single" w:color="CCCCCC" w:sz="1"/>
              <w:bottom w:val="single" w:color="CCCCCC" w:sz="1"/>
              <w:right w:val="single" w:color="CCCCCC" w:sz="1"/>
            </w:tcBorders>
            <w:shd w:fill="0F6E56" w:val="clear"/>
            <w:tcMar>
              <w:top w:type="dxa" w:w="72"/>
              <w:left w:type="dxa" w:w="120"/>
              <w:bottom w:type="dxa" w:w="72"/>
              <w:right w:type="dxa" w:w="120"/>
            </w:tcMar>
          </w:tcPr>
          <w:p>
            <w:r>
              <w:rPr>
                <w:rFonts w:ascii="Arial" w:cs="Arial" w:eastAsia="Arial" w:hAnsi="Arial"/>
                <w:b/>
                <w:bCs/>
                <w:color w:val="FFFFFF"/>
                <w:sz w:val="18"/>
                <w:szCs w:val="18"/>
              </w:rPr>
              <w:t xml:space="preserve">Function</w:t>
            </w:r>
          </w:p>
        </w:tc>
        <w:tc>
          <w:tcPr>
            <w:tcW w:type="dxa" w:w="2300"/>
            <w:tcBorders>
              <w:top w:val="single" w:color="CCCCCC" w:sz="1"/>
              <w:left w:val="single" w:color="CCCCCC" w:sz="1"/>
              <w:bottom w:val="single" w:color="CCCCCC" w:sz="1"/>
              <w:right w:val="single" w:color="CCCCCC" w:sz="1"/>
            </w:tcBorders>
            <w:shd w:fill="0F6E56" w:val="clear"/>
            <w:tcMar>
              <w:top w:type="dxa" w:w="72"/>
              <w:left w:type="dxa" w:w="120"/>
              <w:bottom w:type="dxa" w:w="72"/>
              <w:right w:type="dxa" w:w="120"/>
            </w:tcMar>
          </w:tcPr>
          <w:p>
            <w:r>
              <w:rPr>
                <w:rFonts w:ascii="Arial" w:cs="Arial" w:eastAsia="Arial" w:hAnsi="Arial"/>
                <w:b/>
                <w:bCs/>
                <w:color w:val="FFFFFF"/>
                <w:sz w:val="18"/>
                <w:szCs w:val="18"/>
              </w:rPr>
              <w:t xml:space="preserve">Performance</w:t>
            </w:r>
          </w:p>
        </w:tc>
      </w:tr>
      <w:tr>
        <w:tc>
          <w:tcPr>
            <w:tcW w:type="dxa" w:w="1700"/>
            <w:tcBorders>
              <w:top w:val="single" w:color="CCCCCC" w:sz="1"/>
              <w:left w:val="single" w:color="CCCCCC" w:sz="1"/>
              <w:bottom w:val="single" w:color="CCCCCC" w:sz="1"/>
              <w:right w:val="single" w:color="CCCCCC" w:sz="1"/>
            </w:tcBorders>
            <w:shd w:fill="E1F5EE" w:val="clear"/>
            <w:tcMar>
              <w:top w:type="dxa" w:w="72"/>
              <w:left w:type="dxa" w:w="120"/>
              <w:bottom w:type="dxa" w:w="72"/>
              <w:right w:type="dxa" w:w="120"/>
            </w:tcMar>
          </w:tcPr>
          <w:p>
            <w:r>
              <w:rPr>
                <w:rFonts w:ascii="Arial" w:cs="Arial" w:eastAsia="Arial" w:hAnsi="Arial"/>
                <w:b/>
                <w:bCs/>
                <w:color w:val="111827"/>
                <w:sz w:val="18"/>
                <w:szCs w:val="18"/>
              </w:rPr>
              <w:t xml:space="preserve">Settlement rail</w:t>
            </w:r>
          </w:p>
        </w:tc>
        <w:tc>
          <w:tcPr>
            <w:tcW w:type="dxa" w:w="2300"/>
            <w:tcBorders>
              <w:top w:val="single" w:color="CCCCCC" w:sz="1"/>
              <w:left w:val="single" w:color="CCCCCC" w:sz="1"/>
              <w:bottom w:val="single" w:color="CCCCCC" w:sz="1"/>
              <w:right w:val="single" w:color="CCCCCC" w:sz="1"/>
            </w:tcBorders>
            <w:shd w:fill="E1F5EE" w:val="clear"/>
            <w:tcMar>
              <w:top w:type="dxa" w:w="72"/>
              <w:left w:type="dxa" w:w="120"/>
              <w:bottom w:type="dxa" w:w="72"/>
              <w:right w:type="dxa" w:w="120"/>
            </w:tcMar>
          </w:tcPr>
          <w:p>
            <w:r>
              <w:rPr>
                <w:rFonts w:ascii="Arial" w:cs="Arial" w:eastAsia="Arial" w:hAnsi="Arial"/>
                <w:b w:val="false"/>
                <w:bCs w:val="false"/>
                <w:color w:val="111827"/>
                <w:sz w:val="18"/>
                <w:szCs w:val="18"/>
              </w:rPr>
              <w:t xml:space="preserve">XRPL · Ripple</w:t>
            </w:r>
          </w:p>
        </w:tc>
        <w:tc>
          <w:tcPr>
            <w:tcW w:type="dxa" w:w="4500"/>
            <w:tcBorders>
              <w:top w:val="single" w:color="CCCCCC" w:sz="1"/>
              <w:left w:val="single" w:color="CCCCCC" w:sz="1"/>
              <w:bottom w:val="single" w:color="CCCCCC" w:sz="1"/>
              <w:right w:val="single" w:color="CCCCCC" w:sz="1"/>
            </w:tcBorders>
            <w:shd w:fill="E1F5EE" w:val="clear"/>
            <w:tcMar>
              <w:top w:type="dxa" w:w="72"/>
              <w:left w:type="dxa" w:w="120"/>
              <w:bottom w:type="dxa" w:w="72"/>
              <w:right w:type="dxa" w:w="120"/>
            </w:tcMar>
          </w:tcPr>
          <w:p>
            <w:r>
              <w:rPr>
                <w:rFonts w:ascii="Arial" w:cs="Arial" w:eastAsia="Arial" w:hAnsi="Arial"/>
                <w:b w:val="false"/>
                <w:bCs w:val="false"/>
                <w:color w:val="111827"/>
                <w:sz w:val="18"/>
                <w:szCs w:val="18"/>
              </w:rPr>
              <w:t xml:space="preserve">Continuous RLUSD wage streaming, employer wallet to worker wallet</w:t>
            </w:r>
          </w:p>
        </w:tc>
        <w:tc>
          <w:tcPr>
            <w:tcW w:type="dxa" w:w="2300"/>
            <w:tcBorders>
              <w:top w:val="single" w:color="CCCCCC" w:sz="1"/>
              <w:left w:val="single" w:color="CCCCCC" w:sz="1"/>
              <w:bottom w:val="single" w:color="CCCCCC" w:sz="1"/>
              <w:right w:val="single" w:color="CCCCCC" w:sz="1"/>
            </w:tcBorders>
            <w:shd w:fill="E1F5EE" w:val="clear"/>
            <w:tcMar>
              <w:top w:type="dxa" w:w="72"/>
              <w:left w:type="dxa" w:w="120"/>
              <w:bottom w:type="dxa" w:w="72"/>
              <w:right w:type="dxa" w:w="120"/>
            </w:tcMar>
          </w:tcPr>
          <w:p>
            <w:r>
              <w:rPr>
                <w:rFonts w:ascii="Arial" w:cs="Arial" w:eastAsia="Arial" w:hAnsi="Arial"/>
                <w:b w:val="false"/>
                <w:bCs w:val="false"/>
                <w:color w:val="111827"/>
                <w:sz w:val="18"/>
                <w:szCs w:val="18"/>
              </w:rPr>
              <w:t xml:space="preserve">3–5 sec · $0.0002 / tx</w:t>
            </w:r>
          </w:p>
        </w:tc>
      </w:tr>
      <w:tr>
        <w:tc>
          <w:tcPr>
            <w:tcW w:type="dxa" w:w="17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b/>
                <w:bCs/>
                <w:color w:val="111827"/>
                <w:sz w:val="18"/>
                <w:szCs w:val="18"/>
              </w:rPr>
              <w:t xml:space="preserve">Stablecoin</w:t>
            </w:r>
          </w:p>
        </w:tc>
        <w:tc>
          <w:tcPr>
            <w:tcW w:type="dxa" w:w="23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b w:val="false"/>
                <w:bCs w:val="false"/>
                <w:color w:val="111827"/>
                <w:sz w:val="18"/>
                <w:szCs w:val="18"/>
              </w:rPr>
              <w:t xml:space="preserve">RLUSD (Ripple)</w:t>
            </w:r>
          </w:p>
        </w:tc>
        <w:tc>
          <w:tcPr>
            <w:tcW w:type="dxa" w:w="4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b w:val="false"/>
                <w:bCs w:val="false"/>
                <w:color w:val="111827"/>
                <w:sz w:val="18"/>
                <w:szCs w:val="18"/>
              </w:rPr>
              <w:t xml:space="preserve">Dollar-pegged wage token; 1 RLUSD = $1 USD at all times, no price volatility risk</w:t>
            </w:r>
          </w:p>
        </w:tc>
        <w:tc>
          <w:tcPr>
            <w:tcW w:type="dxa" w:w="23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b w:val="false"/>
                <w:bCs w:val="false"/>
                <w:color w:val="111827"/>
                <w:sz w:val="18"/>
                <w:szCs w:val="18"/>
              </w:rPr>
              <w:t xml:space="preserve">$1.3B supply · Live</w:t>
            </w:r>
          </w:p>
        </w:tc>
      </w:tr>
      <w:tr>
        <w:tc>
          <w:tcPr>
            <w:tcW w:type="dxa" w:w="1700"/>
            <w:tcBorders>
              <w:top w:val="single" w:color="CCCCCC" w:sz="1"/>
              <w:left w:val="single" w:color="CCCCCC" w:sz="1"/>
              <w:bottom w:val="single" w:color="CCCCCC" w:sz="1"/>
              <w:right w:val="single" w:color="CCCCCC" w:sz="1"/>
            </w:tcBorders>
            <w:shd w:fill="E1F5EE" w:val="clear"/>
            <w:tcMar>
              <w:top w:type="dxa" w:w="72"/>
              <w:left w:type="dxa" w:w="120"/>
              <w:bottom w:type="dxa" w:w="72"/>
              <w:right w:type="dxa" w:w="120"/>
            </w:tcMar>
          </w:tcPr>
          <w:p>
            <w:r>
              <w:rPr>
                <w:rFonts w:ascii="Arial" w:cs="Arial" w:eastAsia="Arial" w:hAnsi="Arial"/>
                <w:b/>
                <w:bCs/>
                <w:color w:val="111827"/>
                <w:sz w:val="18"/>
                <w:szCs w:val="18"/>
              </w:rPr>
              <w:t xml:space="preserve">Payment layer</w:t>
            </w:r>
          </w:p>
        </w:tc>
        <w:tc>
          <w:tcPr>
            <w:tcW w:type="dxa" w:w="2300"/>
            <w:tcBorders>
              <w:top w:val="single" w:color="CCCCCC" w:sz="1"/>
              <w:left w:val="single" w:color="CCCCCC" w:sz="1"/>
              <w:bottom w:val="single" w:color="CCCCCC" w:sz="1"/>
              <w:right w:val="single" w:color="CCCCCC" w:sz="1"/>
            </w:tcBorders>
            <w:shd w:fill="E1F5EE" w:val="clear"/>
            <w:tcMar>
              <w:top w:type="dxa" w:w="72"/>
              <w:left w:type="dxa" w:w="120"/>
              <w:bottom w:type="dxa" w:w="72"/>
              <w:right w:type="dxa" w:w="120"/>
            </w:tcMar>
          </w:tcPr>
          <w:p>
            <w:r>
              <w:rPr>
                <w:rFonts w:ascii="Arial" w:cs="Arial" w:eastAsia="Arial" w:hAnsi="Arial"/>
                <w:b w:val="false"/>
                <w:bCs w:val="false"/>
                <w:color w:val="111827"/>
                <w:sz w:val="18"/>
                <w:szCs w:val="18"/>
              </w:rPr>
              <w:t xml:space="preserve">x402 (Coinbase / Cloudflare)</w:t>
            </w:r>
          </w:p>
        </w:tc>
        <w:tc>
          <w:tcPr>
            <w:tcW w:type="dxa" w:w="4500"/>
            <w:tcBorders>
              <w:top w:val="single" w:color="CCCCCC" w:sz="1"/>
              <w:left w:val="single" w:color="CCCCCC" w:sz="1"/>
              <w:bottom w:val="single" w:color="CCCCCC" w:sz="1"/>
              <w:right w:val="single" w:color="CCCCCC" w:sz="1"/>
            </w:tcBorders>
            <w:shd w:fill="E1F5EE" w:val="clear"/>
            <w:tcMar>
              <w:top w:type="dxa" w:w="72"/>
              <w:left w:type="dxa" w:w="120"/>
              <w:bottom w:type="dxa" w:w="72"/>
              <w:right w:type="dxa" w:w="120"/>
            </w:tcMar>
          </w:tcPr>
          <w:p>
            <w:r>
              <w:rPr>
                <w:rFonts w:ascii="Arial" w:cs="Arial" w:eastAsia="Arial" w:hAnsi="Arial"/>
                <w:b w:val="false"/>
                <w:bCs w:val="false"/>
                <w:color w:val="111827"/>
                <w:sz w:val="18"/>
                <w:szCs w:val="18"/>
              </w:rPr>
              <w:t xml:space="preserve">HTTP-native spending; per-request stablecoin payments, no accounts or manual approvals</w:t>
            </w:r>
          </w:p>
        </w:tc>
        <w:tc>
          <w:tcPr>
            <w:tcW w:type="dxa" w:w="2300"/>
            <w:tcBorders>
              <w:top w:val="single" w:color="CCCCCC" w:sz="1"/>
              <w:left w:val="single" w:color="CCCCCC" w:sz="1"/>
              <w:bottom w:val="single" w:color="CCCCCC" w:sz="1"/>
              <w:right w:val="single" w:color="CCCCCC" w:sz="1"/>
            </w:tcBorders>
            <w:shd w:fill="E1F5EE" w:val="clear"/>
            <w:tcMar>
              <w:top w:type="dxa" w:w="72"/>
              <w:left w:type="dxa" w:w="120"/>
              <w:bottom w:type="dxa" w:w="72"/>
              <w:right w:type="dxa" w:w="120"/>
            </w:tcMar>
          </w:tcPr>
          <w:p>
            <w:r>
              <w:rPr>
                <w:rFonts w:ascii="Arial" w:cs="Arial" w:eastAsia="Arial" w:hAnsi="Arial"/>
                <w:b w:val="false"/>
                <w:bCs w:val="false"/>
                <w:color w:val="111827"/>
                <w:sz w:val="18"/>
                <w:szCs w:val="18"/>
              </w:rPr>
              <w:t xml:space="preserve">119M+ txs · $600M ann.</w:t>
            </w:r>
          </w:p>
        </w:tc>
      </w:tr>
      <w:tr>
        <w:tc>
          <w:tcPr>
            <w:tcW w:type="dxa" w:w="17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b/>
                <w:bCs/>
                <w:color w:val="111827"/>
                <w:sz w:val="18"/>
                <w:szCs w:val="18"/>
              </w:rPr>
              <w:t xml:space="preserve">Credit layer</w:t>
            </w:r>
          </w:p>
        </w:tc>
        <w:tc>
          <w:tcPr>
            <w:tcW w:type="dxa" w:w="23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b w:val="false"/>
                <w:bCs w:val="false"/>
                <w:color w:val="111827"/>
                <w:sz w:val="18"/>
                <w:szCs w:val="18"/>
              </w:rPr>
              <w:t xml:space="preserve">Nullmark (Toledo Holdings)</w:t>
            </w:r>
          </w:p>
        </w:tc>
        <w:tc>
          <w:tcPr>
            <w:tcW w:type="dxa" w:w="4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b w:val="false"/>
                <w:bCs w:val="false"/>
                <w:color w:val="111827"/>
                <w:sz w:val="18"/>
                <w:szCs w:val="18"/>
              </w:rPr>
              <w:t xml:space="preserve">On-chain income history as a real-time credit primitive; replaces the static pay stub</w:t>
            </w:r>
          </w:p>
        </w:tc>
        <w:tc>
          <w:tcPr>
            <w:tcW w:type="dxa" w:w="23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b w:val="false"/>
                <w:bCs w:val="false"/>
                <w:color w:val="111827"/>
                <w:sz w:val="18"/>
                <w:szCs w:val="18"/>
              </w:rPr>
              <w:t xml:space="preserve">Real-time · Verifiable</w:t>
            </w:r>
          </w:p>
        </w:tc>
      </w:tr>
    </w:tbl>
    <w:p>
      <w:pPr>
        <w:spacing w:after="0" w:before="100"/>
      </w:pPr>
      <w:r>
        <w:rPr>
          <w:rFonts w:ascii="Arial" w:cs="Arial" w:eastAsia="Arial" w:hAnsi="Arial"/>
          <w:b w:val="false"/>
          <w:bCs w:val="false"/>
          <w:color w:val="111827"/>
          <w:sz w:val="20"/>
          <w:szCs w:val="20"/>
        </w:rPr>
        <w:t xml:space="preserve"/>
      </w:r>
    </w:p>
    <w:p>
      <w:pPr>
        <w:pStyle w:val="Heading1"/>
      </w:pPr>
      <w:r>
        <w:t xml:space="preserve">How It Works</w:t>
      </w:r>
    </w:p>
    <w:p>
      <w:pPr>
        <w:pStyle w:val="ListParagraph"/>
        <w:numPr>
          <w:ilvl w:val="0"/>
          <w:numId w:val="2"/>
        </w:numPr>
        <w:spacing w:after="40" w:before="0"/>
      </w:pPr>
      <w:r>
        <w:rPr>
          <w:rFonts w:ascii="Arial" w:cs="Arial" w:eastAsia="Arial" w:hAnsi="Arial"/>
          <w:b w:val="false"/>
          <w:bCs w:val="false"/>
          <w:color w:val="111827"/>
          <w:sz w:val="20"/>
          <w:szCs w:val="20"/>
        </w:rPr>
        <w:t xml:space="preserve">Employer funds a RLUSD wallet on XRPL, replacing the bi-weekly payroll float with a pre-funded settlement pool.</w:t>
      </w:r>
    </w:p>
    <w:p>
      <w:pPr>
        <w:pStyle w:val="ListParagraph"/>
        <w:numPr>
          <w:ilvl w:val="0"/>
          <w:numId w:val="2"/>
        </w:numPr>
        <w:spacing w:after="40" w:before="0"/>
      </w:pPr>
      <w:r>
        <w:rPr>
          <w:rFonts w:ascii="Arial" w:cs="Arial" w:eastAsia="Arial" w:hAnsi="Arial"/>
          <w:b w:val="false"/>
          <w:bCs w:val="false"/>
          <w:color w:val="111827"/>
          <w:sz w:val="20"/>
          <w:szCs w:val="20"/>
        </w:rPr>
        <w:t xml:space="preserve">StreamPay calculates the per-second accrual rate (annual salary ÷ 31,536,000 seconds) and triggers XRPL micro-settlements on a configurable cadence — every minute, five minutes, or hourly.</w:t>
      </w:r>
    </w:p>
    <w:p>
      <w:pPr>
        <w:pStyle w:val="ListParagraph"/>
        <w:numPr>
          <w:ilvl w:val="0"/>
          <w:numId w:val="2"/>
        </w:numPr>
        <w:spacing w:after="40" w:before="0"/>
      </w:pPr>
      <w:r>
        <w:rPr>
          <w:rFonts w:ascii="Arial" w:cs="Arial" w:eastAsia="Arial" w:hAnsi="Arial"/>
          <w:b w:val="false"/>
          <w:bCs w:val="false"/>
          <w:color w:val="111827"/>
          <w:sz w:val="20"/>
          <w:szCs w:val="20"/>
        </w:rPr>
        <w:t xml:space="preserve">The worker's RLUSD balance increments in real time, visible via the StreamPay dashboard. Withdrawal is instant, at any amount, 24/7, to a bank account or held as RLUSD.</w:t>
      </w:r>
    </w:p>
    <w:p>
      <w:pPr>
        <w:pStyle w:val="ListParagraph"/>
        <w:numPr>
          <w:ilvl w:val="0"/>
          <w:numId w:val="2"/>
        </w:numPr>
        <w:spacing w:after="140" w:before="0"/>
      </w:pPr>
      <w:r>
        <w:rPr>
          <w:rFonts w:ascii="Arial" w:cs="Arial" w:eastAsia="Arial" w:hAnsi="Arial"/>
          <w:b w:val="false"/>
          <w:bCs w:val="false"/>
          <w:color w:val="111827"/>
          <w:sz w:val="20"/>
          <w:szCs w:val="20"/>
        </w:rPr>
        <w:t xml:space="preserve">x402 enables the spending side to match the earning side — rent settles daily, utilities per kWh, subscriptions per use. Every on-chain transaction feeds Nullmark as verifiable, real-time income proof.</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260"/>
        <w:gridCol w:w="280"/>
        <w:gridCol w:w="5260"/>
      </w:tblGrid>
      <w:tr>
        <w:tc>
          <w:tcPr>
            <w:tcW w:type="dxa" w:w="5260"/>
            <w:tcBorders>
              <w:top w:val="none" w:color="FFFFFF" w:sz="0"/>
              <w:left w:val="none" w:color="FFFFFF" w:sz="0"/>
              <w:bottom w:val="none" w:color="FFFFFF" w:sz="0"/>
              <w:right w:val="none" w:color="FFFFFF" w:sz="0"/>
            </w:tcBorders>
            <w:tcMar>
              <w:top w:type="dxa" w:w="0"/>
              <w:left w:type="dxa" w:w="0"/>
              <w:bottom w:type="dxa" w:w="0"/>
              <w:right w:type="dxa" w:w="140"/>
            </w:tcMar>
          </w:tcPr>
          <w:p>
            <w:pPr>
              <w:pBdr>
                <w:bottom w:val="single" w:color="0F6E56" w:sz="4" w:space="4"/>
              </w:pBdr>
              <w:spacing w:after="56" w:before="0"/>
            </w:pPr>
            <w:r>
              <w:rPr>
                <w:rFonts w:ascii="Arial" w:cs="Arial" w:eastAsia="Arial" w:hAnsi="Arial"/>
                <w:b/>
                <w:bCs/>
                <w:color w:val="0F6E56"/>
                <w:sz w:val="22"/>
                <w:szCs w:val="22"/>
              </w:rPr>
              <w:t xml:space="preserve">Build Stack</w:t>
            </w:r>
          </w:p>
          <w:p>
            <w:pPr>
              <w:spacing w:after="48" w:before="0"/>
            </w:pPr>
            <w:r>
              <w:rPr>
                <w:rFonts w:ascii="Arial" w:cs="Arial" w:eastAsia="Arial" w:hAnsi="Arial"/>
                <w:b/>
                <w:bCs/>
                <w:color w:val="111827"/>
                <w:sz w:val="18"/>
                <w:szCs w:val="18"/>
              </w:rPr>
              <w:t xml:space="preserve">Interface  </w:t>
            </w:r>
            <w:r>
              <w:rPr>
                <w:rFonts w:ascii="Arial" w:cs="Arial" w:eastAsia="Arial" w:hAnsi="Arial"/>
                <w:b w:val="false"/>
                <w:bCs w:val="false"/>
                <w:color w:val="4B5563"/>
                <w:sz w:val="18"/>
                <w:szCs w:val="18"/>
              </w:rPr>
              <w:t xml:space="preserve">Next.js + Vercel  (x402 middleware native)</w:t>
            </w:r>
          </w:p>
          <w:p>
            <w:pPr>
              <w:spacing w:after="48" w:before="0"/>
            </w:pPr>
            <w:r>
              <w:rPr>
                <w:rFonts w:ascii="Arial" w:cs="Arial" w:eastAsia="Arial" w:hAnsi="Arial"/>
                <w:b/>
                <w:bCs/>
                <w:color w:val="111827"/>
                <w:sz w:val="18"/>
                <w:szCs w:val="18"/>
              </w:rPr>
              <w:t xml:space="preserve">Settlement  </w:t>
            </w:r>
            <w:r>
              <w:rPr>
                <w:rFonts w:ascii="Arial" w:cs="Arial" w:eastAsia="Arial" w:hAnsi="Arial"/>
                <w:b w:val="false"/>
                <w:bCs w:val="false"/>
                <w:color w:val="4B5563"/>
                <w:sz w:val="18"/>
                <w:szCs w:val="18"/>
              </w:rPr>
              <w:t xml:space="preserve">xrpl.js SDK + RLUSD</w:t>
            </w:r>
          </w:p>
          <w:p>
            <w:pPr>
              <w:spacing w:after="48" w:before="0"/>
            </w:pPr>
            <w:r>
              <w:rPr>
                <w:rFonts w:ascii="Arial" w:cs="Arial" w:eastAsia="Arial" w:hAnsi="Arial"/>
                <w:b/>
                <w:bCs/>
                <w:color w:val="111827"/>
                <w:sz w:val="18"/>
                <w:szCs w:val="18"/>
              </w:rPr>
              <w:t xml:space="preserve">Payments  </w:t>
            </w:r>
            <w:r>
              <w:rPr>
                <w:rFonts w:ascii="Arial" w:cs="Arial" w:eastAsia="Arial" w:hAnsi="Arial"/>
                <w:b w:val="false"/>
                <w:bCs w:val="false"/>
                <w:color w:val="4B5563"/>
                <w:sz w:val="18"/>
                <w:szCs w:val="18"/>
              </w:rPr>
              <w:t xml:space="preserve">x402 open protocol (Coinbase / Cloudflare)</w:t>
            </w:r>
          </w:p>
          <w:p>
            <w:pPr>
              <w:spacing w:after="48" w:before="0"/>
            </w:pPr>
            <w:r>
              <w:rPr>
                <w:rFonts w:ascii="Arial" w:cs="Arial" w:eastAsia="Arial" w:hAnsi="Arial"/>
                <w:b/>
                <w:bCs/>
                <w:color w:val="111827"/>
                <w:sz w:val="18"/>
                <w:szCs w:val="18"/>
              </w:rPr>
              <w:t xml:space="preserve">Credit  </w:t>
            </w:r>
            <w:r>
              <w:rPr>
                <w:rFonts w:ascii="Arial" w:cs="Arial" w:eastAsia="Arial" w:hAnsi="Arial"/>
                <w:b w:val="false"/>
                <w:bCs w:val="false"/>
                <w:color w:val="4B5563"/>
                <w:sz w:val="18"/>
                <w:szCs w:val="18"/>
              </w:rPr>
              <w:t xml:space="preserve">Nullmark  —  Toledo Holdings</w:t>
            </w:r>
          </w:p>
          <w:p>
            <w:pPr>
              <w:spacing w:after="48" w:before="0"/>
            </w:pPr>
            <w:r>
              <w:rPr>
                <w:rFonts w:ascii="Arial" w:cs="Arial" w:eastAsia="Arial" w:hAnsi="Arial"/>
                <w:b/>
                <w:bCs/>
                <w:color w:val="111827"/>
                <w:sz w:val="18"/>
                <w:szCs w:val="18"/>
              </w:rPr>
              <w:t xml:space="preserve">Backend  </w:t>
            </w:r>
            <w:r>
              <w:rPr>
                <w:rFonts w:ascii="Arial" w:cs="Arial" w:eastAsia="Arial" w:hAnsi="Arial"/>
                <w:b w:val="false"/>
                <w:bCs w:val="false"/>
                <w:color w:val="4B5563"/>
                <w:sz w:val="18"/>
                <w:szCs w:val="18"/>
              </w:rPr>
              <w:t xml:space="preserve">Node.js · Python · Stripe · GitHub</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val="false"/>
                <w:bCs w:val="false"/>
                <w:color w:val="111827"/>
                <w:sz w:val="20"/>
                <w:szCs w:val="20"/>
              </w:rPr>
              <w:t xml:space="preserve"/>
            </w:r>
          </w:p>
        </w:tc>
        <w:tc>
          <w:tcPr>
            <w:tcW w:type="dxa" w:w="5260"/>
            <w:tcBorders>
              <w:top w:val="none" w:color="FFFFFF" w:sz="0"/>
              <w:left w:val="none" w:color="FFFFFF" w:sz="0"/>
              <w:bottom w:val="none" w:color="FFFFFF" w:sz="0"/>
              <w:right w:val="none" w:color="FFFFFF" w:sz="0"/>
            </w:tcBorders>
            <w:tcMar>
              <w:top w:type="dxa" w:w="0"/>
              <w:left w:type="dxa" w:w="140"/>
              <w:bottom w:type="dxa" w:w="0"/>
              <w:right w:type="dxa" w:w="0"/>
            </w:tcMar>
          </w:tcPr>
          <w:p>
            <w:pPr>
              <w:pBdr>
                <w:bottom w:val="single" w:color="0F6E56" w:sz="4" w:space="4"/>
              </w:pBdr>
              <w:spacing w:after="56" w:before="0"/>
            </w:pPr>
            <w:r>
              <w:rPr>
                <w:rFonts w:ascii="Arial" w:cs="Arial" w:eastAsia="Arial" w:hAnsi="Arial"/>
                <w:b/>
                <w:bCs/>
                <w:color w:val="0F6E56"/>
                <w:sz w:val="22"/>
                <w:szCs w:val="22"/>
              </w:rPr>
              <w:t xml:space="preserve">Funding Targets</w:t>
            </w:r>
          </w:p>
          <w:p>
            <w:pPr>
              <w:spacing w:after="48" w:before="0"/>
            </w:pPr>
            <w:r>
              <w:rPr>
                <w:rFonts w:ascii="Arial" w:cs="Arial" w:eastAsia="Arial" w:hAnsi="Arial"/>
                <w:b/>
                <w:bCs/>
                <w:color w:val="111827"/>
                <w:sz w:val="18"/>
                <w:szCs w:val="18"/>
              </w:rPr>
              <w:t xml:space="preserve">XRPL Grants  </w:t>
            </w:r>
            <w:r>
              <w:rPr>
                <w:rFonts w:ascii="Arial" w:cs="Arial" w:eastAsia="Arial" w:hAnsi="Arial"/>
                <w:b w:val="false"/>
                <w:bCs w:val="false"/>
                <w:color w:val="4B5563"/>
                <w:sz w:val="18"/>
                <w:szCs w:val="18"/>
              </w:rPr>
              <w:t xml:space="preserve">$250M Ripple developer fund (open applications)</w:t>
            </w:r>
          </w:p>
          <w:p>
            <w:pPr>
              <w:spacing w:after="48" w:before="0"/>
            </w:pPr>
            <w:r>
              <w:rPr>
                <w:rFonts w:ascii="Arial" w:cs="Arial" w:eastAsia="Arial" w:hAnsi="Arial"/>
                <w:b/>
                <w:bCs/>
                <w:color w:val="111827"/>
                <w:sz w:val="18"/>
                <w:szCs w:val="18"/>
              </w:rPr>
              <w:t xml:space="preserve">Impact Capital  </w:t>
            </w:r>
            <w:r>
              <w:rPr>
                <w:rFonts w:ascii="Arial" w:cs="Arial" w:eastAsia="Arial" w:hAnsi="Arial"/>
                <w:b w:val="false"/>
                <w:bCs w:val="false"/>
                <w:color w:val="4B5563"/>
                <w:sz w:val="18"/>
                <w:szCs w:val="18"/>
              </w:rPr>
              <w:t xml:space="preserve">CDFI funds, financial inclusion mandates</w:t>
            </w:r>
          </w:p>
          <w:p>
            <w:pPr>
              <w:spacing w:after="48" w:before="0"/>
            </w:pPr>
            <w:r>
              <w:rPr>
                <w:rFonts w:ascii="Arial" w:cs="Arial" w:eastAsia="Arial" w:hAnsi="Arial"/>
                <w:b/>
                <w:bCs/>
                <w:color w:val="111827"/>
                <w:sz w:val="18"/>
                <w:szCs w:val="18"/>
              </w:rPr>
              <w:t xml:space="preserve">Employer ROI  </w:t>
            </w:r>
            <w:r>
              <w:rPr>
                <w:rFonts w:ascii="Arial" w:cs="Arial" w:eastAsia="Arial" w:hAnsi="Arial"/>
                <w:b w:val="false"/>
                <w:bCs w:val="false"/>
                <w:color w:val="4B5563"/>
                <w:sz w:val="18"/>
                <w:szCs w:val="18"/>
              </w:rPr>
              <w:t xml:space="preserve">Est. $500B / yr in financial-stress productivity loss</w:t>
            </w:r>
          </w:p>
          <w:p>
            <w:pPr>
              <w:spacing w:after="48" w:before="0"/>
            </w:pPr>
            <w:r>
              <w:rPr>
                <w:rFonts w:ascii="Arial" w:cs="Arial" w:eastAsia="Arial" w:hAnsi="Arial"/>
                <w:b/>
                <w:bCs/>
                <w:color w:val="111827"/>
                <w:sz w:val="18"/>
                <w:szCs w:val="18"/>
              </w:rPr>
              <w:t xml:space="preserve">Credit Unions  </w:t>
            </w:r>
            <w:r>
              <w:rPr>
                <w:rFonts w:ascii="Arial" w:cs="Arial" w:eastAsia="Arial" w:hAnsi="Arial"/>
                <w:b w:val="false"/>
                <w:bCs w:val="false"/>
                <w:color w:val="4B5563"/>
                <w:sz w:val="18"/>
                <w:szCs w:val="18"/>
              </w:rPr>
              <w:t xml:space="preserve">Overdraft revenue eliminated — natural buy-in partners</w:t>
            </w:r>
          </w:p>
        </w:tc>
      </w:tr>
    </w:tbl>
    <w:p>
      <w:pPr>
        <w:pBdr>
          <w:top w:val="single" w:color="0F6E56" w:sz="4" w:space="8"/>
        </w:pBdr>
        <w:spacing w:after="0" w:before="120"/>
      </w:pPr>
      <w:r>
        <w:rPr>
          <w:rFonts w:ascii="Arial" w:cs="Arial" w:eastAsia="Arial" w:hAnsi="Arial"/>
          <w:b w:val="false"/>
          <w:bCs w:val="false"/>
          <w:color w:val="111827"/>
          <w:sz w:val="20"/>
          <w:szCs w:val="20"/>
        </w:rPr>
        <w:t xml:space="preserve"/>
      </w:r>
    </w:p>
    <w:p>
      <w:pPr>
        <w:spacing w:after="0" w:before="60"/>
        <w:jc w:val="center"/>
      </w:pPr>
      <w:r>
        <w:rPr>
          <w:rFonts w:ascii="Arial" w:cs="Arial" w:eastAsia="Arial" w:hAnsi="Arial"/>
          <w:b w:val="false"/>
          <w:bCs w:val="false"/>
          <w:color w:val="4B5563"/>
          <w:sz w:val="16"/>
          <w:szCs w:val="16"/>
        </w:rPr>
        <w:t xml:space="preserve">Toledo Holdings · Library Labs  |  Maurice Thomas  |  mthree.biz  |  Austin, TX  |  May 2026</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200"/>
      <w:outlineLvl w:val="0"/>
    </w:pPr>
    <w:rPr>
      <w:rFonts w:ascii="Arial" w:cs="Arial" w:eastAsia="Arial" w:hAnsi="Arial"/>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2026-05-09T00:20:05.750Z</dcterms:created>
  <dcterms:modified xsi:type="dcterms:W3CDTF">2026-05-09T00:20:05.753Z</dcterms:modified>
</cp:coreProperties>
</file>

<file path=docProps/custom.xml><?xml version="1.0" encoding="utf-8"?>
<Properties xmlns="http://schemas.openxmlformats.org/officeDocument/2006/custom-properties" xmlns:vt="http://schemas.openxmlformats.org/officeDocument/2006/docPropsVTypes"/>
</file>