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31.619415283203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How to use Qualtrics to create a survey?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07470703125" w:line="240" w:lineRule="auto"/>
        <w:ind w:left="0" w:right="1555.4077148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Written by Ray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82.4963188171387" w:lineRule="auto"/>
        <w:ind w:left="1.9873046875" w:right="1689.151611328125" w:firstLine="10.8190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(*Note: this instruction is only applicable to students or faculty who hold a Duke Net ID; for  those who from other institutions, the process is similar --- which means this instruction is  also applicable for non-duke users after making some adjustments.)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7.230224609375" w:line="240" w:lineRule="auto"/>
        <w:ind w:left="17.222442626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highlight w:val="yellow"/>
          <w:u w:val="none"/>
          <w:vertAlign w:val="baseline"/>
          <w:rtl w:val="0"/>
        </w:rPr>
        <w:t xml:space="preserve">1. Access to Qualtrics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82.496862411499" w:lineRule="auto"/>
        <w:ind w:left="368.3905029296875" w:right="1841.8280029296875" w:hanging="2.2080993652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Search “duke qualtrics ” on Google, and you’ll find the link to the page where you can  access to the Qualtrics.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-177758</wp:posOffset>
            </wp:positionH>
            <wp:positionV relativeFrom="paragraph">
              <wp:posOffset>83186</wp:posOffset>
            </wp:positionV>
            <wp:extent cx="5496584" cy="2030447"/>
            <wp:effectExtent b="0" l="0" r="0" t="0"/>
            <wp:wrapSquare wrapText="bothSides" distB="19050" distT="19050" distL="19050" distR="1905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6584" cy="203044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2.763671875" w:line="222.18572616577148" w:lineRule="auto"/>
        <w:ind w:left="58.4544372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6219081" cy="152781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9081" cy="152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807281" cy="28784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281" cy="28784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.1825561523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Scroll down to the yellow bar of “ACCESS QUALTRICS” and click on it.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90966796875" w:line="240" w:lineRule="auto"/>
        <w:ind w:left="58.4544372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843905" cy="1863008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905" cy="1863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8192443847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highlight w:val="yellow"/>
          <w:u w:val="none"/>
          <w:vertAlign w:val="baseline"/>
          <w:rtl w:val="0"/>
        </w:rPr>
        <w:t xml:space="preserve">2. Initiate a Survey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217.23385334014893" w:lineRule="auto"/>
        <w:ind w:left="58.454437255859375" w:right="324.78759765625" w:firstLine="318.547210693359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Input your NetID and password so that you will be transferring to the Qualtrics page.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6012841" cy="3039745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2841" cy="3039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991225" cy="2179941"/>
            <wp:effectExtent b="0" l="0" r="0" t="0"/>
            <wp:docPr id="1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1799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7369737625122" w:lineRule="auto"/>
        <w:ind w:left="0" w:right="346.28662109375" w:firstLine="58.454437255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999189" cy="25146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9189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Type your project name in the bar highlighted in blue, and then click on “Get Started”.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991860" cy="2143656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1860" cy="21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.8897705078125" w:line="240" w:lineRule="auto"/>
        <w:ind w:left="9.494476318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highlight w:val="yellow"/>
          <w:u w:val="none"/>
          <w:vertAlign w:val="baseline"/>
          <w:rtl w:val="0"/>
        </w:rPr>
        <w:t xml:space="preserve">3. Edit Your Survey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326171875" w:line="432.33813285827637" w:lineRule="auto"/>
        <w:ind w:left="58.454437255859375" w:right="236.82861328125" w:firstLine="303.3120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You can type text in the blue box, or add sections on the right part (as shown in green).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6068695" cy="3234301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695" cy="3234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8.4544372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651290" cy="19272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290" cy="192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56884765625" w:line="282.4957752227783" w:lineRule="auto"/>
        <w:ind w:left="435.0146484375" w:right="1653.62060546875" w:hanging="6.1824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Click on “Preview” to have a preview before generating the link, in case you have some  revisions to make.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734375" w:line="212.0097541809082" w:lineRule="auto"/>
        <w:ind w:left="58.454437255859375" w:right="894.2114257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651256" cy="220472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1256" cy="2204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440594" cy="288417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594" cy="28841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5.1007843017578" w:lineRule="auto"/>
        <w:ind w:left="58.454437255859375" w:right="1497.122192382812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At the end of the day, click on “publish”. Then you can share the link to your subjects!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268408" cy="20552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408" cy="205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2040611</wp:posOffset>
            </wp:positionV>
            <wp:extent cx="5268731" cy="1659345"/>
            <wp:effectExtent b="0" l="0" r="0" t="0"/>
            <wp:wrapSquare wrapText="bothSides" distB="19050" distT="19050" distL="19050" distR="1905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8731" cy="16593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2.1923828125" w:line="240" w:lineRule="auto"/>
        <w:ind w:left="435.0146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https://duke.qualtrics.com/jfe/form/SV_6wWxx6s505ZUcwl</w:t>
      </w:r>
    </w:p>
    <w:sectPr>
      <w:pgSz w:h="16840" w:w="11900" w:orient="portrait"/>
      <w:pgMar w:bottom="766.7198181152344" w:top="1454.3994140625" w:left="1801.5455627441406" w:right="246.17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3.png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6.png"/><Relationship Id="rId18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