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Security at TruckFixr Fleet AI</w:t>
      </w:r>
    </w:p>
    <w:p>
      <w:pPr>
        <w:spacing w:after="120"/>
      </w:pPr>
      <w:r>
        <w:rPr>
          <w:b/>
          <w:bCs/>
        </w:rPr>
        <w:t xml:space="preserve">TruckFixr is an early-stage SaaS. SOC 2 readiness is in progress.</w:t>
      </w:r>
      <w:r>
        <w:t xml:space="preserve"> TruckFixr is
</w:t>
      </w:r>
      <w:r>
        <w:rPr>
          <w:b/>
          <w:bCs/>
        </w:rPr>
        <w:t xml:space="preserve">not</w:t>
      </w:r>
      <w:r>
        <w:t xml:space="preserve"> SOC 2 compliant, SOC 2 certified, ISO 27001 certified, or HIPAA compliant.
Our controls are being aligned with the SOC 2 </w:t>
      </w:r>
      <w:r>
        <w:rPr>
          <w:b/>
          <w:bCs/>
        </w:rPr>
        <w:t xml:space="preserve">Security, Availability, and
Confidentiality</w:t>
      </w:r>
      <w:r>
        <w:t xml:space="preserve"> trust services criteria.</w:t>
      </w:r>
    </w:p>
    <w:p>
      <w:pPr>
        <w:pStyle w:val="Heading2"/>
      </w:pPr>
      <w:r>
        <w:t xml:space="preserve">Reporting a vulnerability</w:t>
      </w:r>
    </w:p>
    <w:p>
      <w:pPr>
        <w:spacing w:after="120"/>
      </w:pPr>
      <w:r>
        <w:t xml:space="preserve">Email </w:t>
      </w:r>
      <w:hyperlink w:history="1" r:id="rId0t1xqxy1uxegsicsggwwk">
        <w:r>
          <w:rPr>
            <w:rStyle w:val="Hyperlink"/>
            <w:b/>
            <w:bCs/>
          </w:rPr>
          <w:t xml:space="preserve">security@truckfixr.com</w:t>
        </w:r>
      </w:hyperlink>
      <w:r>
        <w:t xml:space="preserve"> (or </w:t>
      </w:r>
      <w:hyperlink w:history="1" r:id="rIdeww2kruxl7nldehqkmsbc">
        <w:r>
          <w:rPr>
            <w:rStyle w:val="Hyperlink"/>
          </w:rPr>
          <w:t xml:space="preserve">info@truckfixr.com</w:t>
        </w:r>
      </w:hyperlink>
      <w:r>
        <w:t xml:space="preserve">) with details and steps to
reproduce. Please do not open public issues for security reports. We aim to acknowledge
within a few business days.</w:t>
      </w:r>
    </w:p>
    <w:p>
      <w:pPr>
        <w:pStyle w:val="Heading2"/>
      </w:pPr>
      <w:r>
        <w:t xml:space="preserve">Where our controls are documented</w:t>
      </w:r>
    </w:p>
    <w:p>
      <w:pPr>
        <w:pStyle w:val="ListParagraph"/>
        <w:numPr>
          <w:ilvl w:val="0"/>
          <w:numId w:val="2"/>
        </w:numPr>
      </w:pPr>
      <w:hyperlink w:history="1" r:id="rIdf5g8qkmab7migcp34spxs">
        <w:r>
          <w:rPr>
            <w:rStyle w:val="Hyperlink"/>
          </w:rPr>
          <w:t xml:space="preserve">`docs/security/policies/`</w:t>
        </w:r>
      </w:hyperlink>
      <w:r>
        <w:t xml:space="preserve"> — the security &amp;
compliance </w:t>
      </w:r>
      <w:r>
        <w:rPr>
          <w:b/>
          <w:bCs/>
        </w:rPr>
        <w:t xml:space="preserve">policy pack</w:t>
      </w:r>
      <w:r>
        <w:t xml:space="preserve"> (information security, access control, incident response,
change management, data classification/retention, and more).</w:t>
      </w:r>
    </w:p>
    <w:p>
      <w:pPr>
        <w:pStyle w:val="ListParagraph"/>
        <w:numPr>
          <w:ilvl w:val="0"/>
          <w:numId w:val="2"/>
        </w:numPr>
      </w:pPr>
      <w:hyperlink w:history="1" r:id="rIdh0euqqsxzxpb9gkzodve6">
        <w:r>
          <w:rPr>
            <w:rStyle w:val="Hyperlink"/>
          </w:rPr>
          <w:t xml:space="preserve">`docs/security/system-description.md`</w:t>
        </w:r>
      </w:hyperlink>
      <w:r>
        <w:t xml:space="preserve"> — SOC 2
scope and architecture.</w:t>
      </w:r>
    </w:p>
    <w:p>
      <w:pPr>
        <w:pStyle w:val="ListParagraph"/>
        <w:numPr>
          <w:ilvl w:val="0"/>
          <w:numId w:val="2"/>
        </w:numPr>
      </w:pPr>
      <w:hyperlink w:history="1" r:id="rIdve4awi7sukfccu-w4jlga">
        <w:r>
          <w:rPr>
            <w:rStyle w:val="Hyperlink"/>
          </w:rPr>
          <w:t xml:space="preserve">`docs/security/tenant-isolation.md`</w:t>
        </w:r>
      </w:hyperlink>
      <w:r>
        <w:t xml:space="preserve"> — how customer
fleets are isolated (application-layer scoping + RLS defense-in-depth).</w:t>
      </w:r>
    </w:p>
    <w:p>
      <w:pPr>
        <w:pStyle w:val="ListParagraph"/>
        <w:numPr>
          <w:ilvl w:val="0"/>
          <w:numId w:val="2"/>
        </w:numPr>
      </w:pPr>
      <w:hyperlink w:history="1" r:id="rIdfrxamrd2z2wfjy6fmolfc">
        <w:r>
          <w:rPr>
            <w:rStyle w:val="Hyperlink"/>
          </w:rPr>
          <w:t xml:space="preserve">`docs/security/rls-isolation-evidence.md`</w:t>
        </w:r>
      </w:hyperlink>
      <w:r>
        <w:t xml:space="preserve"> —
cross-fleet isolation test cadence and evidence.</w:t>
      </w:r>
    </w:p>
    <w:p>
      <w:pPr>
        <w:pStyle w:val="ListParagraph"/>
        <w:numPr>
          <w:ilvl w:val="0"/>
          <w:numId w:val="2"/>
        </w:numPr>
      </w:pPr>
      <w:hyperlink w:history="1" r:id="rIdxqfl5xa8i8xorhwotfwl9">
        <w:r>
          <w:rPr>
            <w:rStyle w:val="Hyperlink"/>
          </w:rPr>
          <w:t xml:space="preserve">`docs/security/backups-and-monitoring.md`</w:t>
        </w:r>
      </w:hyperlink>
      <w:r>
        <w:t xml:space="preserve"> —
backups, recovery, and monitoring runbook.</w:t>
      </w:r>
    </w:p>
    <w:p>
      <w:pPr>
        <w:pStyle w:val="ListParagraph"/>
        <w:numPr>
          <w:ilvl w:val="0"/>
          <w:numId w:val="2"/>
        </w:numPr>
      </w:pPr>
      <w:hyperlink w:history="1" r:id="rId_zsvbfj3gdjbrjpdgckjk">
        <w:r>
          <w:rPr>
            <w:rStyle w:val="Hyperlink"/>
          </w:rPr>
          <w:t xml:space="preserve">`reports/soc2-readiness-2026-06-29.md`</w:t>
        </w:r>
      </w:hyperlink>
      <w:r>
        <w:t xml:space="preserve"> — latest
weekly readiness review.</w:t>
      </w:r>
    </w:p>
    <w:p>
      <w:pPr>
        <w:pStyle w:val="Heading2"/>
      </w:pPr>
      <w:r>
        <w:t xml:space="preserve">Current control highlights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 &amp; RBAC:</w:t>
      </w:r>
      <w:r>
        <w:t xml:space="preserve"> session-based auth; tRPC </w:t>
      </w:r>
      <w:r>
        <w:rPr>
          <w:rFonts w:ascii="Consolas" w:cs="Consolas" w:eastAsia="Consolas" w:hAnsi="Consolas"/>
        </w:rPr>
        <w:t xml:space="preserve">protectedProcedure</w:t>
      </w:r>
      <w:r>
        <w:t xml:space="preserve"> /
</w:t>
      </w:r>
      <w:r>
        <w:rPr>
          <w:rFonts w:ascii="Consolas" w:cs="Consolas" w:eastAsia="Consolas" w:hAnsi="Consolas"/>
        </w:rPr>
        <w:t xml:space="preserve">adminProcedure</w:t>
      </w:r>
      <w:r>
        <w:t xml:space="preserve"> (customer owner/manager) / </w:t>
      </w:r>
      <w:r>
        <w:rPr>
          <w:rFonts w:ascii="Consolas" w:cs="Consolas" w:eastAsia="Consolas" w:hAnsi="Consolas"/>
        </w:rPr>
        <w:t xml:space="preserve">staffProcedure</w:t>
      </w:r>
      <w:r>
        <w:t xml:space="preserve"> (TruckFixr staff only).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Multi-tenant isolation:</w:t>
      </w:r>
      <w:r>
        <w:t xml:space="preserve"> application-layer fleet scoping on every customer-data
query, with Postgres Row-Level Security enabled as defense-in-depth and verified by
</w:t>
      </w:r>
      <w:r>
        <w:rPr>
          <w:rFonts w:ascii="Consolas" w:cs="Consolas" w:eastAsia="Consolas" w:hAnsi="Consolas"/>
        </w:rPr>
        <w:t xml:space="preserve">scripts/verify/rls.ts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Privacy-first logging:</w:t>
      </w:r>
      <w:r>
        <w:t xml:space="preserve"> </w:t>
      </w:r>
      <w:r>
        <w:rPr>
          <w:rFonts w:ascii="Consolas" w:cs="Consolas" w:eastAsia="Consolas" w:hAnsi="Consolas"/>
        </w:rPr>
        <w:t xml:space="preserve">server/services/observability.ts</w:t>
      </w:r>
      <w:r>
        <w:t xml:space="preserve"> redacts emails, VINs,
phone numbers, JWTs, secret keys, and inline image data before anything is emitted.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Secrets management:</w:t>
      </w:r>
      <w:r>
        <w:t xml:space="preserve"> no secrets in git; production secrets are injected via Render
environment variables; </w:t>
      </w:r>
      <w:r>
        <w:rPr>
          <w:rFonts w:ascii="Consolas" w:cs="Consolas" w:eastAsia="Consolas" w:hAnsi="Consolas"/>
        </w:rPr>
        <w:t xml:space="preserve">JWT_SECRET</w:t>
      </w:r>
      <w:r>
        <w:t xml:space="preserve"> is generated by the platform.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Change management:</w:t>
      </w:r>
      <w:r>
        <w:t xml:space="preserve"> CI (</w:t>
      </w:r>
      <w:r>
        <w:rPr>
          <w:rFonts w:ascii="Consolas" w:cs="Consolas" w:eastAsia="Consolas" w:hAnsi="Consolas"/>
        </w:rPr>
        <w:t xml:space="preserve">.github/workflows/ci.yml</w:t>
      </w:r>
      <w:r>
        <w:t xml:space="preserve">) runs typecheck, tests, and a
secret scan on every push and pull request.</w:t>
      </w:r>
    </w:p>
    <w:p>
      <w:pPr>
        <w:pStyle w:val="Heading2"/>
      </w:pPr>
      <w:r>
        <w:t xml:space="preserve">A note on compliance tooling</w:t>
      </w:r>
    </w:p>
    <w:p>
      <w:pPr>
        <w:spacing w:after="120"/>
      </w:pPr>
      <w:r>
        <w:t xml:space="preserve">If StrongDM Comply (or any similar tool) is used, it serves </w:t>
      </w:r>
      <w:r>
        <w:rPr>
          <w:b/>
          <w:bCs/>
        </w:rPr>
        <w:t xml:space="preserve">only as a documentation
accelerator. It does not prove TruckFixr is SOC 2 compliant or certified.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t1xqxy1uxegsicsggwwk" Type="http://schemas.openxmlformats.org/officeDocument/2006/relationships/hyperlink" Target="mailto:security@truckfixr.com" TargetMode="External"/><Relationship Id="rIdeww2kruxl7nldehqkmsbc" Type="http://schemas.openxmlformats.org/officeDocument/2006/relationships/hyperlink" Target="mailto:info@truckfixr.com" TargetMode="External"/><Relationship Id="rIdf5g8qkmab7migcp34spxs" Type="http://schemas.openxmlformats.org/officeDocument/2006/relationships/hyperlink" Target="docs/security/policies/README.md" TargetMode="External"/><Relationship Id="rIdh0euqqsxzxpb9gkzodve6" Type="http://schemas.openxmlformats.org/officeDocument/2006/relationships/hyperlink" Target="docs/security/system-description.md" TargetMode="External"/><Relationship Id="rIdve4awi7sukfccu-w4jlga" Type="http://schemas.openxmlformats.org/officeDocument/2006/relationships/hyperlink" Target="docs/security/tenant-isolation.md" TargetMode="External"/><Relationship Id="rIdfrxamrd2z2wfjy6fmolfc" Type="http://schemas.openxmlformats.org/officeDocument/2006/relationships/hyperlink" Target="docs/security/rls-isolation-evidence.md" TargetMode="External"/><Relationship Id="rIdxqfl5xa8i8xorhwotfwl9" Type="http://schemas.openxmlformats.org/officeDocument/2006/relationships/hyperlink" Target="docs/security/backups-and-monitoring.md" TargetMode="External"/><Relationship Id="rId_zsvbfj3gdjbrjpdgckjk" Type="http://schemas.openxmlformats.org/officeDocument/2006/relationships/hyperlink" Target="reports/soc2-readiness-2026-06-29.md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2026-06-30T00:08:58.114Z</dcterms:created>
  <dcterms:modified xsi:type="dcterms:W3CDTF">2026-06-30T00:08:58.114Z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