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Risk Management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Risk assessment at least annually; register reviewed weekly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Establish a lightweight, repeatable way to identify, rate, and treat security and
availability risks.</w:t>
      </w:r>
    </w:p>
    <w:p>
      <w:pPr>
        <w:pStyle w:val="Heading2"/>
      </w:pPr>
      <w:r>
        <w:t xml:space="preserve">2.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</w:t>
      </w:r>
      <w:r>
        <w:t xml:space="preserve"> risks (from the weekly readiness review, incidents, vendor changes,
architecture changes, and code review).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</w:t>
      </w:r>
      <w:r>
        <w:t xml:space="preserve"> each on </w:t>
      </w:r>
      <w:r>
        <w:rPr>
          <w:b/>
          <w:bCs/>
        </w:rPr>
        <w:t xml:space="preserve">Likelihood × Impact</w:t>
      </w:r>
      <w:r>
        <w:t xml:space="preserve"> (Low / Medium / High).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Treat</w:t>
      </w:r>
      <w:r>
        <w:t xml:space="preserve">: mitigate, accept (with Security Lead sign-off and expiry), transfer
(e.g. insurance/vendor), or avoid.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</w:t>
      </w:r>
      <w:r>
        <w:t xml:space="preserve"> in the </w:t>
      </w:r>
      <w:hyperlink w:history="1" r:id="rIdtwbnfwc-jbgshdly7jmra">
        <w:r>
          <w:rPr>
            <w:rStyle w:val="Hyperlink"/>
          </w:rPr>
          <w:t xml:space="preserve">Risk Register</w:t>
        </w:r>
      </w:hyperlink>
      <w:r>
        <w:t xml:space="preserve"> with an owner and
target date.</w:t>
      </w:r>
    </w:p>
    <w:p>
      <w:pPr>
        <w:pStyle w:val="Heading2"/>
      </w:pPr>
      <w:r>
        <w:t xml:space="preserve">3. Cadence</w:t>
      </w:r>
    </w:p>
    <w:p>
      <w:pPr>
        <w:pStyle w:val="ListParagraph"/>
        <w:numPr>
          <w:ilvl w:val="0"/>
          <w:numId w:val="3"/>
        </w:numPr>
      </w:pPr>
      <w:r>
        <w:t xml:space="preserve">The weekly SOC 2 readiness review (</w:t>
      </w:r>
      <w:r>
        <w:rPr>
          <w:rFonts w:ascii="Consolas" w:cs="Consolas" w:eastAsia="Consolas" w:hAnsi="Consolas"/>
        </w:rPr>
        <w:t xml:space="preserve">reports/soc2-readiness-*.md</w:t>
      </w:r>
      <w:r>
        <w:t xml:space="preserve">) is the primary
risk-identification mechanism.</w:t>
      </w:r>
    </w:p>
    <w:p>
      <w:pPr>
        <w:pStyle w:val="ListParagraph"/>
        <w:numPr>
          <w:ilvl w:val="0"/>
          <w:numId w:val="3"/>
        </w:numPr>
      </w:pPr>
      <w:r>
        <w:t xml:space="preserve">A consolidated risk assessment is performed at least annually.</w:t>
      </w:r>
    </w:p>
    <w:p>
      <w:pPr>
        <w:pStyle w:val="Heading2"/>
      </w:pPr>
      <w:r>
        <w:t xml:space="preserve">4. Risk acceptance</w:t>
      </w:r>
    </w:p>
    <w:p>
      <w:pPr>
        <w:spacing w:after="120"/>
      </w:pPr>
      <w:r>
        <w:t xml:space="preserve">Accepting a risk requires the Security Lead's recorded approval, a rationale, and a
review/expiry date. Accepted risks are revisited at expiry.</w:t>
      </w:r>
    </w:p>
    <w:p>
      <w:pPr>
        <w:pStyle w:val="Heading2"/>
      </w:pPr>
      <w:r>
        <w:t xml:space="preserve">5. Current top risks (snapshot — keep in the register)</w:t>
      </w:r>
    </w:p>
    <w:p>
      <w:pPr>
        <w:pStyle w:val="ListParagraph"/>
        <w:numPr>
          <w:ilvl w:val="0"/>
          <w:numId w:val="3"/>
        </w:numPr>
      </w:pPr>
      <w:r>
        <w:t xml:space="preserve">No automated test proves every customer-data query is fleet-scoped (app-layer
isolation is the primary boundary). — </w:t>
      </w:r>
      <w:r>
        <w:rPr>
          <w:i/>
          <w:iCs/>
        </w:rPr>
        <w:t xml:space="preserve">In progress.</w:t>
      </w:r>
    </w:p>
    <w:p>
      <w:pPr>
        <w:pStyle w:val="ListParagraph"/>
        <w:numPr>
          <w:ilvl w:val="0"/>
          <w:numId w:val="3"/>
        </w:numPr>
      </w:pPr>
      <w:r>
        <w:t xml:space="preserve">API on a hosting tier without an SLA / documented backups verified by restore. —
</w:t>
      </w:r>
      <w:r>
        <w:rPr>
          <w:i/>
          <w:iCs/>
        </w:rPr>
        <w:t xml:space="preserve">In progress.</w:t>
      </w:r>
    </w:p>
    <w:p>
      <w:pPr>
        <w:pStyle w:val="ListParagraph"/>
        <w:numPr>
          <w:ilvl w:val="0"/>
          <w:numId w:val="3"/>
        </w:numPr>
      </w:pPr>
      <w:r>
        <w:t xml:space="preserve">Small team → limited separation of duties; mitigated by CI gates and code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bnfwc-jbgshdly7jmra" Type="http://schemas.openxmlformats.org/officeDocument/2006/relationships/hyperlink" Target="../registers/risk-register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2026-06-30T00:08:57.002Z</dcterms:created>
  <dcterms:modified xsi:type="dcterms:W3CDTF">2026-06-30T00:08:57.002Z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